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69D" w:rsidRPr="008E4182" w:rsidRDefault="009A769D" w:rsidP="009A769D">
      <w:pPr>
        <w:spacing w:after="228" w:line="240" w:lineRule="auto"/>
        <w:ind w:left="0" w:firstLine="0"/>
        <w:jc w:val="center"/>
        <w:rPr>
          <w:rFonts w:asciiTheme="majorBidi" w:hAnsiTheme="majorBidi" w:cstheme="majorBidi"/>
        </w:rPr>
      </w:pPr>
      <w:r w:rsidRPr="008E4182">
        <w:rPr>
          <w:rFonts w:asciiTheme="majorBidi" w:hAnsiTheme="majorBidi" w:cstheme="majorBidi"/>
          <w:b/>
        </w:rPr>
        <w:t>Epidem</w:t>
      </w:r>
      <w:r>
        <w:rPr>
          <w:rFonts w:asciiTheme="majorBidi" w:hAnsiTheme="majorBidi" w:cstheme="majorBidi"/>
          <w:b/>
        </w:rPr>
        <w:t>i</w:t>
      </w:r>
      <w:r w:rsidRPr="008E4182">
        <w:rPr>
          <w:rFonts w:asciiTheme="majorBidi" w:hAnsiTheme="majorBidi" w:cstheme="majorBidi"/>
          <w:b/>
        </w:rPr>
        <w:t>ology,</w:t>
      </w:r>
      <w:r>
        <w:rPr>
          <w:rFonts w:asciiTheme="majorBidi" w:hAnsiTheme="majorBidi" w:cstheme="majorBidi"/>
          <w:b/>
        </w:rPr>
        <w:t xml:space="preserve"> </w:t>
      </w:r>
      <w:r w:rsidRPr="008E4182">
        <w:rPr>
          <w:rFonts w:asciiTheme="majorBidi" w:hAnsiTheme="majorBidi" w:cstheme="majorBidi"/>
          <w:b/>
        </w:rPr>
        <w:t xml:space="preserve">Clinical Variation and Out Come Of Childhood Hemolytic Uremic Syndrome at our university Pediatric Nephrology Unit. </w:t>
      </w:r>
    </w:p>
    <w:p w:rsidR="009A769D" w:rsidRPr="008E4182" w:rsidRDefault="009A769D" w:rsidP="009A769D">
      <w:pPr>
        <w:spacing w:after="0"/>
        <w:ind w:left="360" w:right="2" w:hanging="331"/>
        <w:rPr>
          <w:rFonts w:asciiTheme="majorBidi" w:hAnsiTheme="majorBidi" w:cstheme="majorBidi"/>
        </w:rPr>
      </w:pPr>
      <w:r w:rsidRPr="008E4182">
        <w:rPr>
          <w:rFonts w:asciiTheme="majorBidi" w:hAnsiTheme="majorBidi" w:cstheme="majorBidi"/>
        </w:rPr>
        <w:t xml:space="preserve"> </w:t>
      </w:r>
    </w:p>
    <w:p w:rsidR="009A769D" w:rsidRPr="008E4182" w:rsidRDefault="009A769D" w:rsidP="009A769D">
      <w:pPr>
        <w:spacing w:after="0" w:line="259" w:lineRule="auto"/>
        <w:ind w:left="39"/>
        <w:jc w:val="left"/>
        <w:rPr>
          <w:rFonts w:asciiTheme="majorBidi" w:hAnsiTheme="majorBidi" w:cstheme="majorBidi"/>
        </w:rPr>
      </w:pPr>
      <w:r w:rsidRPr="008E4182">
        <w:rPr>
          <w:rFonts w:asciiTheme="majorBidi" w:hAnsiTheme="majorBidi" w:cstheme="majorBidi"/>
          <w:b/>
        </w:rPr>
        <w:t xml:space="preserve">Abstract </w:t>
      </w:r>
    </w:p>
    <w:p w:rsidR="009A769D" w:rsidRPr="008E4182" w:rsidRDefault="009A769D" w:rsidP="009A769D">
      <w:pPr>
        <w:spacing w:after="0" w:line="259" w:lineRule="auto"/>
        <w:ind w:left="39"/>
        <w:rPr>
          <w:rFonts w:asciiTheme="majorBidi" w:hAnsiTheme="majorBidi" w:cstheme="majorBidi"/>
          <w:b/>
        </w:rPr>
      </w:pPr>
      <w:r w:rsidRPr="008E4182">
        <w:rPr>
          <w:rFonts w:asciiTheme="majorBidi" w:hAnsiTheme="majorBidi" w:cstheme="majorBidi"/>
          <w:b/>
        </w:rPr>
        <w:t xml:space="preserve">Background: </w:t>
      </w:r>
      <w:r w:rsidRPr="008E4182">
        <w:rPr>
          <w:rFonts w:asciiTheme="majorBidi" w:hAnsiTheme="majorBidi" w:cstheme="majorBidi"/>
        </w:rPr>
        <w:t xml:space="preserve">Hemolytic uremic syndrome (HUS) is a thrombotic </w:t>
      </w:r>
      <w:proofErr w:type="spellStart"/>
      <w:r w:rsidRPr="008E4182">
        <w:rPr>
          <w:rFonts w:asciiTheme="majorBidi" w:hAnsiTheme="majorBidi" w:cstheme="majorBidi"/>
        </w:rPr>
        <w:t>microangiopathy</w:t>
      </w:r>
      <w:proofErr w:type="spellEnd"/>
      <w:r w:rsidRPr="008E4182">
        <w:rPr>
          <w:rFonts w:asciiTheme="majorBidi" w:hAnsiTheme="majorBidi" w:cstheme="majorBidi"/>
        </w:rPr>
        <w:t xml:space="preserve"> and a major cause of acute kidney injury in children</w:t>
      </w:r>
      <w:r>
        <w:rPr>
          <w:rFonts w:asciiTheme="majorBidi" w:hAnsiTheme="majorBidi" w:cstheme="majorBidi"/>
        </w:rPr>
        <w:t>,</w:t>
      </w:r>
      <w:r w:rsidRPr="008E4182">
        <w:rPr>
          <w:rFonts w:asciiTheme="majorBidi" w:hAnsiTheme="majorBidi" w:cstheme="majorBidi"/>
        </w:rPr>
        <w:t xml:space="preserve"> represent</w:t>
      </w:r>
      <w:r>
        <w:rPr>
          <w:rFonts w:asciiTheme="majorBidi" w:hAnsiTheme="majorBidi" w:cstheme="majorBidi"/>
        </w:rPr>
        <w:t>ing</w:t>
      </w:r>
      <w:r w:rsidRPr="008E4182">
        <w:rPr>
          <w:rFonts w:asciiTheme="majorBidi" w:hAnsiTheme="majorBidi" w:cstheme="majorBidi"/>
        </w:rPr>
        <w:t xml:space="preserve"> a heterogeneous group of disorders with different pathophysiology and o</w:t>
      </w:r>
      <w:r w:rsidR="00586431">
        <w:rPr>
          <w:rFonts w:asciiTheme="majorBidi" w:hAnsiTheme="majorBidi" w:cstheme="majorBidi"/>
        </w:rPr>
        <w:t>utcomes, including Shiga toxin–</w:t>
      </w:r>
      <w:r w:rsidRPr="008E4182">
        <w:rPr>
          <w:rFonts w:asciiTheme="majorBidi" w:hAnsiTheme="majorBidi" w:cstheme="majorBidi"/>
        </w:rPr>
        <w:t xml:space="preserve">producing </w:t>
      </w:r>
      <w:r w:rsidRPr="008E4182">
        <w:rPr>
          <w:rFonts w:asciiTheme="majorBidi" w:hAnsiTheme="majorBidi" w:cstheme="majorBidi"/>
          <w:i/>
        </w:rPr>
        <w:t>Escherichia coli</w:t>
      </w:r>
      <w:r w:rsidRPr="008E4182">
        <w:rPr>
          <w:rFonts w:asciiTheme="majorBidi" w:hAnsiTheme="majorBidi" w:cstheme="majorBidi"/>
        </w:rPr>
        <w:t>–associated HUS (STEC-HUS) ,post-streptococcus HUS and atypical HUS due to complement dysregulation.</w:t>
      </w:r>
      <w:r w:rsidRPr="008E4182">
        <w:rPr>
          <w:rFonts w:asciiTheme="majorBidi" w:hAnsiTheme="majorBidi" w:cstheme="majorBidi"/>
          <w:b/>
        </w:rPr>
        <w:t xml:space="preserve"> Aim:</w:t>
      </w:r>
      <w:r w:rsidRPr="008E4182">
        <w:rPr>
          <w:rFonts w:asciiTheme="majorBidi" w:hAnsiTheme="majorBidi" w:cstheme="majorBidi"/>
        </w:rPr>
        <w:t xml:space="preserve"> To evaluate the clinical characteristics, prognostic factors and outcome of HUS in children younger than 16 years.</w:t>
      </w:r>
      <w:r w:rsidRPr="008E4182">
        <w:rPr>
          <w:rFonts w:asciiTheme="majorBidi" w:hAnsiTheme="majorBidi" w:cstheme="majorBidi"/>
          <w:b/>
        </w:rPr>
        <w:t xml:space="preserve"> Methods:</w:t>
      </w:r>
      <w:r w:rsidR="00586431">
        <w:rPr>
          <w:rFonts w:asciiTheme="majorBidi" w:hAnsiTheme="majorBidi" w:cstheme="majorBidi"/>
        </w:rPr>
        <w:t xml:space="preserve"> This </w:t>
      </w:r>
      <w:r w:rsidRPr="008E4182">
        <w:rPr>
          <w:rFonts w:asciiTheme="majorBidi" w:hAnsiTheme="majorBidi" w:cstheme="majorBidi"/>
        </w:rPr>
        <w:t>cohort study included 43 children under 16 years  who presented with HUS at the pediatric nephrology unit. Patients were classified into two groups: typic</w:t>
      </w:r>
      <w:r w:rsidR="00A44688">
        <w:rPr>
          <w:rFonts w:asciiTheme="majorBidi" w:hAnsiTheme="majorBidi" w:cstheme="majorBidi"/>
        </w:rPr>
        <w:t xml:space="preserve">al HUS with a diarrheal </w:t>
      </w:r>
      <w:proofErr w:type="spellStart"/>
      <w:r w:rsidR="00A44688">
        <w:rPr>
          <w:rFonts w:asciiTheme="majorBidi" w:hAnsiTheme="majorBidi" w:cstheme="majorBidi"/>
        </w:rPr>
        <w:t>prodroma</w:t>
      </w:r>
      <w:proofErr w:type="spellEnd"/>
      <w:r w:rsidRPr="008E4182">
        <w:rPr>
          <w:rFonts w:asciiTheme="majorBidi" w:hAnsiTheme="majorBidi" w:cstheme="majorBidi"/>
        </w:rPr>
        <w:t xml:space="preserve"> (Group A) and atypical HUS without preceding diarrhea (Group B).</w:t>
      </w:r>
      <w:r w:rsidRPr="008E4182">
        <w:rPr>
          <w:rFonts w:asciiTheme="majorBidi" w:hAnsiTheme="majorBidi" w:cstheme="majorBidi"/>
          <w:b/>
        </w:rPr>
        <w:t>Results:</w:t>
      </w:r>
      <w:r w:rsidRPr="008E4182">
        <w:rPr>
          <w:rFonts w:asciiTheme="majorBidi" w:hAnsiTheme="majorBidi" w:cstheme="majorBidi"/>
        </w:rPr>
        <w:t xml:space="preserve"> Group A included 23 patients (53%), while Group B included 20 patients (47%). Males represented (67.4%) while females(32.6%). Complete recovery was significantly more frequent in typical HUS than atypical HUS (61% vs. 30%, p &lt; 0.005). In contrast, chronic kidney disease  (55% vs. 21%), proteinuria (75% vs. 30%), and hypertension (90% vs. 65%) were significantly more in atypical HUS. Receiver operating characteristic (ROC) curve analysis showed that a C3 cutoff value of 68 mg/</w:t>
      </w:r>
      <w:proofErr w:type="spellStart"/>
      <w:r w:rsidRPr="008E4182">
        <w:rPr>
          <w:rFonts w:asciiTheme="majorBidi" w:hAnsiTheme="majorBidi" w:cstheme="majorBidi"/>
        </w:rPr>
        <w:t>dL</w:t>
      </w:r>
      <w:proofErr w:type="spellEnd"/>
      <w:r w:rsidRPr="008E4182">
        <w:rPr>
          <w:rFonts w:asciiTheme="majorBidi" w:hAnsiTheme="majorBidi" w:cstheme="majorBidi"/>
        </w:rPr>
        <w:t xml:space="preserve"> predicted chronicity in atypical HUS with a sensitivity of 72%, specificity of 44%, and (AUC) of 0.667. A factor H cutoff value of 51 mg/L demonstrated a sensitivity of 68%, specificity of 55%, and AUC of 0.606.</w:t>
      </w:r>
      <w:r w:rsidRPr="008E4182">
        <w:rPr>
          <w:rFonts w:asciiTheme="majorBidi" w:hAnsiTheme="majorBidi" w:cstheme="majorBidi"/>
          <w:b/>
        </w:rPr>
        <w:t xml:space="preserve"> Conclusion:</w:t>
      </w:r>
      <w:r w:rsidRPr="008E4182">
        <w:rPr>
          <w:rFonts w:asciiTheme="majorBidi" w:hAnsiTheme="majorBidi" w:cstheme="majorBidi"/>
        </w:rPr>
        <w:t xml:space="preserve"> Typical HUS was associated with better renal recovery, while atypical HUS showed worse renal outcomes with higher rates of CKD, proteinuria, and hypertension. Mortality was significantly associated with younger age and convulsions.</w:t>
      </w:r>
      <w:r w:rsidRPr="008E4182">
        <w:rPr>
          <w:rFonts w:asciiTheme="majorBidi" w:hAnsiTheme="majorBidi" w:cstheme="majorBidi"/>
          <w:b/>
        </w:rPr>
        <w:t xml:space="preserve">  </w:t>
      </w:r>
    </w:p>
    <w:p w:rsidR="009A769D" w:rsidRPr="008E4182" w:rsidRDefault="009A769D" w:rsidP="009A769D">
      <w:pPr>
        <w:spacing w:after="0" w:line="259" w:lineRule="auto"/>
        <w:ind w:left="39"/>
        <w:rPr>
          <w:rFonts w:asciiTheme="majorBidi" w:hAnsiTheme="majorBidi" w:cstheme="majorBidi"/>
        </w:rPr>
      </w:pPr>
    </w:p>
    <w:p w:rsidR="009A769D" w:rsidRPr="008E4182" w:rsidRDefault="009A769D" w:rsidP="00B7524F">
      <w:pPr>
        <w:spacing w:after="268"/>
        <w:ind w:left="39" w:right="2"/>
        <w:rPr>
          <w:rFonts w:asciiTheme="majorBidi" w:hAnsiTheme="majorBidi" w:cstheme="majorBidi"/>
        </w:rPr>
      </w:pPr>
      <w:r w:rsidRPr="008E4182">
        <w:rPr>
          <w:rFonts w:asciiTheme="majorBidi" w:hAnsiTheme="majorBidi" w:cstheme="majorBidi"/>
          <w:b/>
        </w:rPr>
        <w:t>Keywords:</w:t>
      </w:r>
      <w:r w:rsidRPr="008E4182">
        <w:rPr>
          <w:rFonts w:asciiTheme="majorBidi" w:hAnsiTheme="majorBidi" w:cstheme="majorBidi"/>
        </w:rPr>
        <w:t xml:space="preserve">  Acute kidney injury ,hemolytic uremic syndrome ,p</w:t>
      </w:r>
      <w:r w:rsidR="00B7524F">
        <w:rPr>
          <w:rFonts w:asciiTheme="majorBidi" w:hAnsiTheme="majorBidi" w:cstheme="majorBidi"/>
        </w:rPr>
        <w:t xml:space="preserve">ediatric nephrology, Factor H. </w:t>
      </w:r>
    </w:p>
    <w:p w:rsidR="009A769D" w:rsidRPr="008E4182" w:rsidRDefault="009A769D" w:rsidP="009A769D">
      <w:pPr>
        <w:pStyle w:val="a7"/>
        <w:numPr>
          <w:ilvl w:val="0"/>
          <w:numId w:val="1"/>
        </w:numPr>
        <w:spacing w:after="0" w:line="259" w:lineRule="auto"/>
        <w:rPr>
          <w:rFonts w:asciiTheme="majorBidi" w:hAnsiTheme="majorBidi" w:cstheme="majorBidi"/>
        </w:rPr>
      </w:pPr>
      <w:r w:rsidRPr="008E4182">
        <w:rPr>
          <w:rFonts w:asciiTheme="majorBidi" w:hAnsiTheme="majorBidi" w:cstheme="majorBidi"/>
          <w:b/>
        </w:rPr>
        <w:t xml:space="preserve">Introduction </w:t>
      </w:r>
    </w:p>
    <w:p w:rsidR="009A769D" w:rsidRPr="00B7524F" w:rsidRDefault="009A769D" w:rsidP="00B7524F">
      <w:pPr>
        <w:ind w:left="39" w:right="2"/>
        <w:rPr>
          <w:rFonts w:asciiTheme="majorBidi" w:hAnsiTheme="majorBidi" w:cstheme="majorBidi"/>
          <w:b/>
          <w:color w:val="365F91" w:themeColor="accent1" w:themeShade="BF"/>
        </w:rPr>
      </w:pPr>
      <w:r w:rsidRPr="008E4182">
        <w:rPr>
          <w:rFonts w:asciiTheme="majorBidi" w:hAnsiTheme="majorBidi" w:cstheme="majorBidi"/>
        </w:rPr>
        <w:t xml:space="preserve">Hemolytic uremic syndrome is the most common thrombotic </w:t>
      </w:r>
      <w:proofErr w:type="spellStart"/>
      <w:r w:rsidRPr="008E4182">
        <w:rPr>
          <w:rFonts w:asciiTheme="majorBidi" w:hAnsiTheme="majorBidi" w:cstheme="majorBidi"/>
        </w:rPr>
        <w:t>microangiopathy</w:t>
      </w:r>
      <w:proofErr w:type="spellEnd"/>
      <w:r w:rsidRPr="008E4182">
        <w:rPr>
          <w:rFonts w:asciiTheme="majorBidi" w:hAnsiTheme="majorBidi" w:cstheme="majorBidi"/>
        </w:rPr>
        <w:t xml:space="preserve"> in pediatric age group, one of the most common cause of acute kidney injury in childhood worldwide</w:t>
      </w:r>
      <w:r w:rsidRPr="008E4182">
        <w:rPr>
          <w:rFonts w:asciiTheme="majorBidi" w:hAnsiTheme="majorBidi" w:cstheme="majorBidi"/>
          <w:b/>
        </w:rPr>
        <w:t xml:space="preserve"> </w:t>
      </w:r>
      <w:r w:rsidRPr="008E4182">
        <w:rPr>
          <w:rFonts w:asciiTheme="majorBidi" w:hAnsiTheme="majorBidi" w:cstheme="majorBidi"/>
          <w:b/>
          <w:color w:val="365F91" w:themeColor="accent1" w:themeShade="BF"/>
        </w:rPr>
        <w:t xml:space="preserve">(1)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rPr>
        <w:t xml:space="preserve">HUS criteria characterized by </w:t>
      </w:r>
      <w:proofErr w:type="spellStart"/>
      <w:r w:rsidRPr="008E4182">
        <w:rPr>
          <w:rFonts w:asciiTheme="majorBidi" w:hAnsiTheme="majorBidi" w:cstheme="majorBidi"/>
        </w:rPr>
        <w:t>microangiopathic</w:t>
      </w:r>
      <w:proofErr w:type="spellEnd"/>
      <w:r w:rsidRPr="008E4182">
        <w:rPr>
          <w:rFonts w:asciiTheme="majorBidi" w:hAnsiTheme="majorBidi" w:cstheme="majorBidi"/>
        </w:rPr>
        <w:t xml:space="preserve"> hemolytic anemia in the form  of acute drop of hemoglobin level below 10 gm/dl with significant levels of one of hemolytic markers as increasing LDH &gt;450 u/l or consumed </w:t>
      </w:r>
      <w:proofErr w:type="spellStart"/>
      <w:r w:rsidRPr="008E4182">
        <w:rPr>
          <w:rFonts w:asciiTheme="majorBidi" w:hAnsiTheme="majorBidi" w:cstheme="majorBidi"/>
        </w:rPr>
        <w:t>haptoglobin</w:t>
      </w:r>
      <w:proofErr w:type="spellEnd"/>
      <w:r w:rsidRPr="008E4182">
        <w:rPr>
          <w:rFonts w:asciiTheme="majorBidi" w:hAnsiTheme="majorBidi" w:cstheme="majorBidi"/>
        </w:rPr>
        <w:t xml:space="preserve"> or increasing corrected re</w:t>
      </w:r>
      <w:r w:rsidR="00586431">
        <w:rPr>
          <w:rFonts w:asciiTheme="majorBidi" w:hAnsiTheme="majorBidi" w:cstheme="majorBidi"/>
        </w:rPr>
        <w:t xml:space="preserve">ticulocyte count, with sign of </w:t>
      </w:r>
      <w:proofErr w:type="spellStart"/>
      <w:r w:rsidR="00586431">
        <w:rPr>
          <w:rFonts w:asciiTheme="majorBidi" w:hAnsiTheme="majorBidi" w:cstheme="majorBidi"/>
        </w:rPr>
        <w:t>m</w:t>
      </w:r>
      <w:r w:rsidRPr="008E4182">
        <w:rPr>
          <w:rFonts w:asciiTheme="majorBidi" w:hAnsiTheme="majorBidi" w:cstheme="majorBidi"/>
        </w:rPr>
        <w:t>icroangiopathy</w:t>
      </w:r>
      <w:proofErr w:type="spellEnd"/>
      <w:r w:rsidRPr="008E4182">
        <w:rPr>
          <w:rFonts w:asciiTheme="majorBidi" w:hAnsiTheme="majorBidi" w:cstheme="majorBidi"/>
        </w:rPr>
        <w:t xml:space="preserve"> in the form of presence of peripheral blood film </w:t>
      </w:r>
      <w:proofErr w:type="spellStart"/>
      <w:r w:rsidRPr="008E4182">
        <w:rPr>
          <w:rFonts w:asciiTheme="majorBidi" w:hAnsiTheme="majorBidi" w:cstheme="majorBidi"/>
        </w:rPr>
        <w:t>schistocyte</w:t>
      </w:r>
      <w:proofErr w:type="spellEnd"/>
      <w:r w:rsidRPr="008E4182">
        <w:rPr>
          <w:rFonts w:asciiTheme="majorBidi" w:hAnsiTheme="majorBidi" w:cstheme="majorBidi"/>
        </w:rPr>
        <w:t xml:space="preserve"> with significant level &gt;2%, thrombocytopenia in the form of decreasing platelet count below 150000 or decreasing number by 25% from baseline and acute kidney injury and or extra renal end organ damage</w:t>
      </w:r>
      <w:r w:rsidRPr="008E4182">
        <w:rPr>
          <w:rFonts w:asciiTheme="majorBidi" w:hAnsiTheme="majorBidi" w:cstheme="majorBidi"/>
          <w:b/>
          <w:color w:val="365F91" w:themeColor="accent1" w:themeShade="BF"/>
        </w:rPr>
        <w:t xml:space="preserve">.(2)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rPr>
        <w:t xml:space="preserve">HUS classification by  diarrhea positive  and diarrhea negative  is misleading as diarrhea may be trigger factor  and present in also  atypical HUS  and also can be bloody diarrhea can be noticed in about 30% of atypical cases </w:t>
      </w:r>
      <w:r w:rsidRPr="008E4182">
        <w:rPr>
          <w:rFonts w:asciiTheme="majorBidi" w:hAnsiTheme="majorBidi" w:cstheme="majorBidi"/>
          <w:color w:val="365F91" w:themeColor="accent1" w:themeShade="BF"/>
        </w:rPr>
        <w:t>(</w:t>
      </w:r>
      <w:r w:rsidRPr="008E4182">
        <w:rPr>
          <w:rFonts w:asciiTheme="majorBidi" w:hAnsiTheme="majorBidi" w:cstheme="majorBidi"/>
          <w:b/>
          <w:color w:val="365F91" w:themeColor="accent1" w:themeShade="BF"/>
        </w:rPr>
        <w:t>3</w:t>
      </w:r>
      <w:r w:rsidRPr="008E4182">
        <w:rPr>
          <w:rFonts w:asciiTheme="majorBidi" w:hAnsiTheme="majorBidi" w:cstheme="majorBidi"/>
          <w:color w:val="365F91" w:themeColor="accent1" w:themeShade="BF"/>
        </w:rPr>
        <w:t>)</w:t>
      </w:r>
      <w:r w:rsidRPr="008E4182">
        <w:rPr>
          <w:rFonts w:asciiTheme="majorBidi" w:hAnsiTheme="majorBidi" w:cstheme="majorBidi"/>
          <w:b/>
          <w:color w:val="365F91" w:themeColor="accent1" w:themeShade="BF"/>
        </w:rPr>
        <w:t xml:space="preserve"> </w:t>
      </w:r>
      <w:r w:rsidRPr="008E4182">
        <w:rPr>
          <w:rFonts w:asciiTheme="majorBidi" w:hAnsiTheme="majorBidi" w:cstheme="majorBidi"/>
          <w:color w:val="365F91" w:themeColor="accent1" w:themeShade="BF"/>
        </w:rPr>
        <w:t xml:space="preserve">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rPr>
        <w:lastRenderedPageBreak/>
        <w:t xml:space="preserve">There are many different classification systems for HUS which have been developed. </w:t>
      </w:r>
      <w:r w:rsidRPr="008E4182">
        <w:rPr>
          <w:rFonts w:asciiTheme="majorBidi" w:hAnsiTheme="majorBidi" w:cstheme="majorBidi"/>
          <w:b/>
        </w:rPr>
        <w:t xml:space="preserve">(figure 1)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rPr>
        <w:t>The most common cause representing 85-90%</w:t>
      </w:r>
      <w:r>
        <w:rPr>
          <w:rFonts w:asciiTheme="majorBidi" w:hAnsiTheme="majorBidi" w:cstheme="majorBidi"/>
        </w:rPr>
        <w:t xml:space="preserve"> of HUS</w:t>
      </w:r>
      <w:r w:rsidRPr="008E4182">
        <w:rPr>
          <w:rFonts w:asciiTheme="majorBidi" w:hAnsiTheme="majorBidi" w:cstheme="majorBidi"/>
        </w:rPr>
        <w:t xml:space="preserve"> is </w:t>
      </w:r>
      <w:r>
        <w:rPr>
          <w:rFonts w:asciiTheme="majorBidi" w:hAnsiTheme="majorBidi" w:cstheme="majorBidi"/>
        </w:rPr>
        <w:t>S</w:t>
      </w:r>
      <w:r w:rsidRPr="008E4182">
        <w:rPr>
          <w:rFonts w:asciiTheme="majorBidi" w:hAnsiTheme="majorBidi" w:cstheme="majorBidi"/>
        </w:rPr>
        <w:t>hi</w:t>
      </w:r>
      <w:r w:rsidR="00586431">
        <w:rPr>
          <w:rFonts w:asciiTheme="majorBidi" w:hAnsiTheme="majorBidi" w:cstheme="majorBidi"/>
        </w:rPr>
        <w:t xml:space="preserve">ga toxin induced HUS caused by </w:t>
      </w:r>
      <w:proofErr w:type="spellStart"/>
      <w:r w:rsidR="00586431">
        <w:rPr>
          <w:rFonts w:asciiTheme="majorBidi" w:hAnsiTheme="majorBidi" w:cstheme="majorBidi"/>
        </w:rPr>
        <w:t>e</w:t>
      </w:r>
      <w:r w:rsidR="000A7255">
        <w:rPr>
          <w:rFonts w:asciiTheme="majorBidi" w:hAnsiTheme="majorBidi" w:cstheme="majorBidi"/>
        </w:rPr>
        <w:t>ntero</w:t>
      </w:r>
      <w:proofErr w:type="spellEnd"/>
      <w:r w:rsidR="000A7255">
        <w:rPr>
          <w:rFonts w:asciiTheme="majorBidi" w:hAnsiTheme="majorBidi" w:cstheme="majorBidi" w:hint="cs"/>
          <w:rtl/>
        </w:rPr>
        <w:t>-</w:t>
      </w:r>
      <w:r w:rsidRPr="008E4182">
        <w:rPr>
          <w:rFonts w:asciiTheme="majorBidi" w:hAnsiTheme="majorBidi" w:cstheme="majorBidi"/>
        </w:rPr>
        <w:t xml:space="preserve">hemorrhagic E.coli (EHEC) or </w:t>
      </w:r>
      <w:proofErr w:type="spellStart"/>
      <w:r>
        <w:rPr>
          <w:rFonts w:asciiTheme="majorBidi" w:hAnsiTheme="majorBidi" w:cstheme="majorBidi"/>
        </w:rPr>
        <w:t>S</w:t>
      </w:r>
      <w:r w:rsidRPr="008E4182">
        <w:rPr>
          <w:rFonts w:asciiTheme="majorBidi" w:hAnsiTheme="majorBidi" w:cstheme="majorBidi"/>
        </w:rPr>
        <w:t>higella</w:t>
      </w:r>
      <w:proofErr w:type="spellEnd"/>
      <w:r w:rsidRPr="008E4182">
        <w:rPr>
          <w:rFonts w:asciiTheme="majorBidi" w:hAnsiTheme="majorBidi" w:cstheme="majorBidi"/>
        </w:rPr>
        <w:t xml:space="preserve"> </w:t>
      </w:r>
      <w:proofErr w:type="spellStart"/>
      <w:r w:rsidRPr="008E4182">
        <w:rPr>
          <w:rFonts w:asciiTheme="majorBidi" w:hAnsiTheme="majorBidi" w:cstheme="majorBidi"/>
        </w:rPr>
        <w:t>dysenteriae</w:t>
      </w:r>
      <w:proofErr w:type="spellEnd"/>
      <w:r w:rsidRPr="008E4182">
        <w:rPr>
          <w:rFonts w:asciiTheme="majorBidi" w:hAnsiTheme="majorBidi" w:cstheme="majorBidi"/>
        </w:rPr>
        <w:t>, most seen in children under 5 years. approximately 5-10% of children with sporadic STEC  infection develop HUS and may even reach to 20% in out breaks</w:t>
      </w:r>
      <w:r w:rsidRPr="008E4182">
        <w:rPr>
          <w:rFonts w:asciiTheme="majorBidi" w:hAnsiTheme="majorBidi" w:cstheme="majorBidi"/>
          <w:b/>
        </w:rPr>
        <w:t xml:space="preserve">  </w:t>
      </w:r>
      <w:r w:rsidRPr="008E4182">
        <w:rPr>
          <w:rFonts w:asciiTheme="majorBidi" w:hAnsiTheme="majorBidi" w:cstheme="majorBidi"/>
          <w:b/>
          <w:color w:val="365F91" w:themeColor="accent1" w:themeShade="BF"/>
        </w:rPr>
        <w:t xml:space="preserve">(4)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rPr>
        <w:t xml:space="preserve">Early volume expander during the diarrheal phase have shown better outcome particularly neurological complications ,although fluid overload is an important predictor of mortality ,so judicious adjustment of fluid is recommended </w:t>
      </w:r>
      <w:r w:rsidRPr="008E4182">
        <w:rPr>
          <w:rFonts w:asciiTheme="majorBidi" w:hAnsiTheme="majorBidi" w:cstheme="majorBidi"/>
          <w:b/>
          <w:color w:val="365F91" w:themeColor="accent1" w:themeShade="BF"/>
        </w:rPr>
        <w:t xml:space="preserve">(5) </w:t>
      </w:r>
    </w:p>
    <w:p w:rsidR="009A769D" w:rsidRPr="008E4182" w:rsidRDefault="009A769D" w:rsidP="009A769D">
      <w:pPr>
        <w:ind w:left="39" w:right="2"/>
        <w:rPr>
          <w:rFonts w:asciiTheme="majorBidi" w:hAnsiTheme="majorBidi" w:cstheme="majorBidi"/>
        </w:rPr>
      </w:pPr>
      <w:r w:rsidRPr="008E4182">
        <w:rPr>
          <w:rFonts w:asciiTheme="majorBidi" w:hAnsiTheme="majorBidi" w:cstheme="majorBidi"/>
          <w:color w:val="1B1B1B"/>
        </w:rPr>
        <w:t>Most children with typical HUS recover fully, even though long term follow up is recommended by cohort studies reported presence of sequelae of decreased GFR, proteinuria and hypertension after five or ten years follow up even with normality at 1 year follow up</w:t>
      </w:r>
      <w:r w:rsidRPr="008E4182">
        <w:rPr>
          <w:rFonts w:asciiTheme="majorBidi" w:hAnsiTheme="majorBidi" w:cstheme="majorBidi"/>
        </w:rPr>
        <w:t xml:space="preserve"> </w:t>
      </w:r>
      <w:r w:rsidRPr="008E4182">
        <w:rPr>
          <w:rFonts w:asciiTheme="majorBidi" w:hAnsiTheme="majorBidi" w:cstheme="majorBidi"/>
          <w:b/>
          <w:color w:val="365F91" w:themeColor="accent1" w:themeShade="BF"/>
        </w:rPr>
        <w:t>(6)</w:t>
      </w:r>
      <w:r w:rsidRPr="008E4182">
        <w:rPr>
          <w:rFonts w:asciiTheme="majorBidi" w:hAnsiTheme="majorBidi" w:cstheme="majorBidi"/>
          <w:color w:val="365F91" w:themeColor="accent1" w:themeShade="BF"/>
        </w:rPr>
        <w:t xml:space="preserve"> </w:t>
      </w:r>
    </w:p>
    <w:p w:rsidR="009A769D" w:rsidRPr="008E4182" w:rsidRDefault="009A769D" w:rsidP="009A769D">
      <w:pPr>
        <w:spacing w:after="190"/>
        <w:ind w:left="29" w:firstLine="0"/>
        <w:rPr>
          <w:rFonts w:asciiTheme="majorBidi" w:hAnsiTheme="majorBidi" w:cstheme="majorBidi"/>
          <w:color w:val="1B1B1B"/>
        </w:rPr>
      </w:pPr>
      <w:r w:rsidRPr="008E4182">
        <w:rPr>
          <w:rFonts w:asciiTheme="majorBidi" w:hAnsiTheme="majorBidi" w:cstheme="majorBidi"/>
          <w:color w:val="1B1B1B"/>
        </w:rPr>
        <w:t xml:space="preserve">The incidence of HUS following invasive pneumococcal infections representing about 5% of all HUS cases. It usually occurs after pneumonia (complicated with empyema) or meningitis. Children with SP-HUS are younger, and usually have more severe renal outcome compared to  those with STEC-HUS with higher mortality rate.  </w:t>
      </w:r>
      <w:r w:rsidRPr="008E4182">
        <w:rPr>
          <w:rFonts w:asciiTheme="majorBidi" w:hAnsiTheme="majorBidi" w:cstheme="majorBidi"/>
          <w:color w:val="365F91" w:themeColor="accent1" w:themeShade="BF"/>
        </w:rPr>
        <w:t>(</w:t>
      </w:r>
      <w:r w:rsidRPr="008E4182">
        <w:rPr>
          <w:rFonts w:asciiTheme="majorBidi" w:hAnsiTheme="majorBidi" w:cstheme="majorBidi"/>
          <w:b/>
          <w:color w:val="365F91" w:themeColor="accent1" w:themeShade="BF"/>
        </w:rPr>
        <w:t>7)</w:t>
      </w:r>
    </w:p>
    <w:p w:rsidR="009A769D" w:rsidRPr="008E4182" w:rsidRDefault="009A769D" w:rsidP="009A769D">
      <w:pPr>
        <w:spacing w:after="0"/>
        <w:ind w:left="29" w:firstLine="0"/>
        <w:rPr>
          <w:rFonts w:asciiTheme="majorBidi" w:hAnsiTheme="majorBidi" w:cstheme="majorBidi"/>
        </w:rPr>
      </w:pPr>
      <w:r w:rsidRPr="008E4182">
        <w:rPr>
          <w:rFonts w:asciiTheme="majorBidi" w:hAnsiTheme="majorBidi" w:cstheme="majorBidi"/>
          <w:color w:val="1B1B1B"/>
        </w:rPr>
        <w:t>Atypical HUS (a</w:t>
      </w:r>
      <w:r>
        <w:rPr>
          <w:rFonts w:asciiTheme="majorBidi" w:hAnsiTheme="majorBidi" w:cstheme="majorBidi"/>
          <w:color w:val="1B1B1B"/>
        </w:rPr>
        <w:t>-</w:t>
      </w:r>
      <w:r w:rsidRPr="008E4182">
        <w:rPr>
          <w:rFonts w:asciiTheme="majorBidi" w:hAnsiTheme="majorBidi" w:cstheme="majorBidi"/>
          <w:color w:val="1B1B1B"/>
        </w:rPr>
        <w:t xml:space="preserve">HUS) is an aggressive, lethal if left untreated, due to genetic or acquired complement dysregulation , about quarter of patients developed death in the </w:t>
      </w:r>
    </w:p>
    <w:p w:rsidR="009A769D" w:rsidRPr="008E4182" w:rsidRDefault="009A769D" w:rsidP="009A769D">
      <w:pPr>
        <w:spacing w:after="299"/>
        <w:ind w:left="29" w:firstLine="0"/>
        <w:rPr>
          <w:rFonts w:asciiTheme="majorBidi" w:hAnsiTheme="majorBidi" w:cstheme="majorBidi"/>
        </w:rPr>
      </w:pPr>
      <w:r w:rsidRPr="008E4182">
        <w:rPr>
          <w:rFonts w:asciiTheme="majorBidi" w:hAnsiTheme="majorBidi" w:cstheme="majorBidi"/>
          <w:color w:val="1B1B1B"/>
        </w:rPr>
        <w:t xml:space="preserve">acute phase, and up to half progress to end-stage kidney disease </w:t>
      </w:r>
      <w:r w:rsidRPr="008E4182">
        <w:rPr>
          <w:rFonts w:asciiTheme="majorBidi" w:hAnsiTheme="majorBidi" w:cstheme="majorBidi"/>
          <w:color w:val="365F91" w:themeColor="accent1" w:themeShade="BF"/>
        </w:rPr>
        <w:t>(</w:t>
      </w:r>
      <w:r w:rsidRPr="008E4182">
        <w:rPr>
          <w:rFonts w:asciiTheme="majorBidi" w:hAnsiTheme="majorBidi" w:cstheme="majorBidi"/>
          <w:color w:val="365F91" w:themeColor="accent1" w:themeShade="BF"/>
          <w:sz w:val="16"/>
        </w:rPr>
        <w:t xml:space="preserve"> </w:t>
      </w:r>
      <w:r w:rsidRPr="008E4182">
        <w:rPr>
          <w:rFonts w:asciiTheme="majorBidi" w:hAnsiTheme="majorBidi" w:cstheme="majorBidi"/>
          <w:b/>
          <w:color w:val="365F91" w:themeColor="accent1" w:themeShade="BF"/>
        </w:rPr>
        <w:t>8)</w:t>
      </w:r>
      <w:r w:rsidRPr="008E4182">
        <w:rPr>
          <w:rFonts w:asciiTheme="majorBidi" w:hAnsiTheme="majorBidi" w:cstheme="majorBidi"/>
          <w:color w:val="365F91" w:themeColor="accent1" w:themeShade="BF"/>
          <w:sz w:val="16"/>
        </w:rPr>
        <w:t xml:space="preserve">                                                                                       </w:t>
      </w:r>
      <w:r w:rsidRPr="008E4182">
        <w:rPr>
          <w:rFonts w:asciiTheme="majorBidi" w:hAnsiTheme="majorBidi" w:cstheme="majorBidi"/>
          <w:b/>
          <w:color w:val="365F91" w:themeColor="accent1" w:themeShade="BF"/>
        </w:rPr>
        <w:t xml:space="preserve"> </w:t>
      </w:r>
    </w:p>
    <w:p w:rsidR="009A769D" w:rsidRPr="008E4182" w:rsidRDefault="009A769D" w:rsidP="009A769D">
      <w:pPr>
        <w:spacing w:after="228"/>
        <w:ind w:left="39" w:right="2"/>
        <w:rPr>
          <w:rFonts w:asciiTheme="majorBidi" w:hAnsiTheme="majorBidi" w:cstheme="majorBidi"/>
        </w:rPr>
      </w:pPr>
      <w:r w:rsidRPr="008E4182">
        <w:rPr>
          <w:rFonts w:asciiTheme="majorBidi" w:hAnsiTheme="majorBidi" w:cstheme="majorBidi"/>
        </w:rPr>
        <w:t xml:space="preserve">Most complement-mediated HUS cases are genetic mutations of complement factors representing at least 50-60 %. Antibodies to complement proteins have been implicated for about 6 to 10 percent of patients with complement-mediated HUS, patients may have concurrent genetic mutations and antibodies to complement proteins  </w:t>
      </w:r>
      <w:r w:rsidRPr="008E4182">
        <w:rPr>
          <w:rFonts w:asciiTheme="majorBidi" w:hAnsiTheme="majorBidi" w:cstheme="majorBidi"/>
          <w:color w:val="365F91" w:themeColor="accent1" w:themeShade="BF"/>
        </w:rPr>
        <w:t>(</w:t>
      </w:r>
      <w:r w:rsidRPr="008E4182">
        <w:rPr>
          <w:rFonts w:asciiTheme="majorBidi" w:hAnsiTheme="majorBidi" w:cstheme="majorBidi"/>
          <w:b/>
          <w:color w:val="365F91" w:themeColor="accent1" w:themeShade="BF"/>
        </w:rPr>
        <w:t>9)</w:t>
      </w:r>
      <w:r w:rsidRPr="008E4182">
        <w:rPr>
          <w:rFonts w:asciiTheme="majorBidi" w:hAnsiTheme="majorBidi" w:cstheme="majorBidi"/>
          <w:color w:val="365F91" w:themeColor="accent1" w:themeShade="BF"/>
        </w:rPr>
        <w:t xml:space="preserve"> </w:t>
      </w:r>
    </w:p>
    <w:p w:rsidR="009A769D" w:rsidRPr="008E4182" w:rsidRDefault="009A769D" w:rsidP="009A769D">
      <w:pPr>
        <w:spacing w:after="228"/>
        <w:ind w:left="39" w:right="2"/>
        <w:rPr>
          <w:rFonts w:asciiTheme="majorBidi" w:hAnsiTheme="majorBidi" w:cstheme="majorBidi"/>
        </w:rPr>
      </w:pPr>
      <w:r w:rsidRPr="008E4182">
        <w:rPr>
          <w:rFonts w:asciiTheme="majorBidi" w:hAnsiTheme="majorBidi" w:cstheme="majorBidi"/>
        </w:rPr>
        <w:t>CFH-related proteins (CFHR) are the most frequently identified genetic abnormalities seen in patients with complement-mediated HUS representing up to 30%. CFH in conjunction with complement factor I (CFI) competes with complement factor B (CFB) for C3b binding and accelerates C3 convertase decay.,</w:t>
      </w:r>
      <w:r w:rsidRPr="008E4182">
        <w:rPr>
          <w:rFonts w:asciiTheme="majorBidi" w:hAnsiTheme="majorBidi" w:cstheme="majorBidi"/>
          <w:b/>
          <w:bCs/>
          <w:color w:val="365F91" w:themeColor="accent1" w:themeShade="BF"/>
        </w:rPr>
        <w:t>(10)</w:t>
      </w:r>
    </w:p>
    <w:p w:rsidR="009A769D" w:rsidRPr="008E4182" w:rsidRDefault="009A769D" w:rsidP="009A769D">
      <w:pPr>
        <w:spacing w:after="228"/>
        <w:ind w:left="39" w:right="2"/>
        <w:rPr>
          <w:rFonts w:asciiTheme="majorBidi" w:hAnsiTheme="majorBidi" w:cstheme="majorBidi"/>
        </w:rPr>
      </w:pPr>
      <w:r w:rsidRPr="008E4182">
        <w:rPr>
          <w:rFonts w:asciiTheme="majorBidi" w:hAnsiTheme="majorBidi" w:cstheme="majorBidi"/>
        </w:rPr>
        <w:t xml:space="preserve"> Patients with CFH variants have the worst outcome of all of the patients with complement mediated HUS. The natural course of this disease results in 60 to 70 percent of patients progressing to kidney failure or death within one year of presentation ,also, there is a high rate of recurrent disease in patients who undergo kidney transplantation </w:t>
      </w:r>
      <w:r w:rsidRPr="008E4182">
        <w:rPr>
          <w:rFonts w:asciiTheme="majorBidi" w:hAnsiTheme="majorBidi" w:cstheme="majorBidi"/>
          <w:b/>
          <w:color w:val="365F91" w:themeColor="accent1" w:themeShade="BF"/>
        </w:rPr>
        <w:t>(11)</w:t>
      </w:r>
      <w:r w:rsidRPr="008E4182">
        <w:rPr>
          <w:rFonts w:asciiTheme="majorBidi" w:hAnsiTheme="majorBidi" w:cstheme="majorBidi"/>
          <w:color w:val="365F91" w:themeColor="accent1" w:themeShade="BF"/>
        </w:rPr>
        <w:t xml:space="preserve"> </w:t>
      </w:r>
    </w:p>
    <w:p w:rsidR="009A769D" w:rsidRDefault="009A769D" w:rsidP="009A769D">
      <w:pPr>
        <w:ind w:left="39" w:right="2"/>
        <w:rPr>
          <w:rFonts w:asciiTheme="majorBidi" w:hAnsiTheme="majorBidi" w:cstheme="majorBidi"/>
          <w:color w:val="365F91" w:themeColor="accent1" w:themeShade="BF"/>
        </w:rPr>
      </w:pPr>
      <w:proofErr w:type="spellStart"/>
      <w:r w:rsidRPr="008E4182">
        <w:rPr>
          <w:rFonts w:asciiTheme="majorBidi" w:hAnsiTheme="majorBidi" w:cstheme="majorBidi"/>
        </w:rPr>
        <w:t>Eculizumab</w:t>
      </w:r>
      <w:proofErr w:type="spellEnd"/>
      <w:r w:rsidRPr="008E4182">
        <w:rPr>
          <w:rFonts w:asciiTheme="majorBidi" w:hAnsiTheme="majorBidi" w:cstheme="majorBidi"/>
        </w:rPr>
        <w:t xml:space="preserve"> remains the standard first line therapy for pediatric a</w:t>
      </w:r>
      <w:r>
        <w:rPr>
          <w:rFonts w:asciiTheme="majorBidi" w:hAnsiTheme="majorBidi" w:cstheme="majorBidi"/>
        </w:rPr>
        <w:t>-</w:t>
      </w:r>
      <w:r w:rsidRPr="008E4182">
        <w:rPr>
          <w:rFonts w:asciiTheme="majorBidi" w:hAnsiTheme="majorBidi" w:cstheme="majorBidi"/>
        </w:rPr>
        <w:t xml:space="preserve">HUS ,it inhibits terminal complement activation by blocking C5,preventing formation of the membrane attack complex and halting thrombotic </w:t>
      </w:r>
      <w:proofErr w:type="spellStart"/>
      <w:r w:rsidRPr="008E4182">
        <w:rPr>
          <w:rFonts w:asciiTheme="majorBidi" w:hAnsiTheme="majorBidi" w:cstheme="majorBidi"/>
        </w:rPr>
        <w:t>microangiopathy</w:t>
      </w:r>
      <w:proofErr w:type="spellEnd"/>
      <w:r w:rsidRPr="008E4182">
        <w:rPr>
          <w:rFonts w:asciiTheme="majorBidi" w:hAnsiTheme="majorBidi" w:cstheme="majorBidi"/>
        </w:rPr>
        <w:t xml:space="preserve"> ,it improves renal and hematological out come  and associated with low mortality </w:t>
      </w:r>
      <w:r w:rsidRPr="008E4182">
        <w:rPr>
          <w:rFonts w:asciiTheme="majorBidi" w:hAnsiTheme="majorBidi" w:cstheme="majorBidi"/>
          <w:b/>
          <w:color w:val="365F91" w:themeColor="accent1" w:themeShade="BF"/>
        </w:rPr>
        <w:t>(12)</w:t>
      </w:r>
      <w:r w:rsidRPr="008E4182">
        <w:rPr>
          <w:rFonts w:asciiTheme="majorBidi" w:hAnsiTheme="majorBidi" w:cstheme="majorBidi"/>
          <w:color w:val="365F91" w:themeColor="accent1" w:themeShade="BF"/>
        </w:rPr>
        <w:t xml:space="preserve"> </w:t>
      </w:r>
    </w:p>
    <w:p w:rsidR="00B7524F" w:rsidRDefault="00B7524F" w:rsidP="009A769D">
      <w:pPr>
        <w:ind w:left="39" w:right="2"/>
        <w:rPr>
          <w:rFonts w:asciiTheme="majorBidi" w:hAnsiTheme="majorBidi" w:cstheme="majorBidi"/>
          <w:color w:val="365F91" w:themeColor="accent1" w:themeShade="BF"/>
        </w:rPr>
      </w:pPr>
    </w:p>
    <w:p w:rsidR="00B7524F" w:rsidRPr="008E4182" w:rsidRDefault="00B7524F" w:rsidP="009A769D">
      <w:pPr>
        <w:ind w:left="39" w:right="2"/>
        <w:rPr>
          <w:rFonts w:asciiTheme="majorBidi" w:hAnsiTheme="majorBidi" w:cstheme="majorBidi"/>
        </w:rPr>
      </w:pPr>
    </w:p>
    <w:p w:rsidR="009A769D" w:rsidRPr="008E4182" w:rsidRDefault="009A769D" w:rsidP="009A769D">
      <w:pPr>
        <w:pStyle w:val="a7"/>
        <w:numPr>
          <w:ilvl w:val="0"/>
          <w:numId w:val="1"/>
        </w:numPr>
        <w:spacing w:after="170" w:line="259" w:lineRule="auto"/>
        <w:rPr>
          <w:rFonts w:asciiTheme="majorBidi" w:hAnsiTheme="majorBidi" w:cstheme="majorBidi"/>
        </w:rPr>
      </w:pPr>
      <w:r w:rsidRPr="008E4182">
        <w:rPr>
          <w:rFonts w:asciiTheme="majorBidi" w:hAnsiTheme="majorBidi" w:cstheme="majorBidi"/>
          <w:b/>
        </w:rPr>
        <w:lastRenderedPageBreak/>
        <w:t xml:space="preserve">Patients and Methods </w:t>
      </w:r>
    </w:p>
    <w:p w:rsidR="009A769D" w:rsidRPr="008E4182" w:rsidRDefault="009A769D" w:rsidP="009A769D">
      <w:pPr>
        <w:spacing w:before="100" w:beforeAutospacing="1" w:after="100" w:afterAutospacing="1" w:line="240" w:lineRule="auto"/>
        <w:ind w:left="0" w:firstLine="0"/>
        <w:rPr>
          <w:rFonts w:asciiTheme="majorBidi" w:hAnsiTheme="majorBidi" w:cstheme="majorBidi"/>
          <w:color w:val="auto"/>
          <w:kern w:val="0"/>
          <w14:ligatures w14:val="none"/>
        </w:rPr>
      </w:pPr>
      <w:r w:rsidRPr="008E4182">
        <w:rPr>
          <w:rFonts w:asciiTheme="majorBidi" w:hAnsiTheme="majorBidi" w:cstheme="majorBidi"/>
          <w:b/>
        </w:rPr>
        <w:t>Study design</w:t>
      </w:r>
      <w:r w:rsidRPr="008E4182">
        <w:rPr>
          <w:rFonts w:asciiTheme="majorBidi" w:hAnsiTheme="majorBidi" w:cstheme="majorBidi"/>
        </w:rPr>
        <w:t xml:space="preserve">: </w:t>
      </w:r>
      <w:r w:rsidRPr="008E4182">
        <w:rPr>
          <w:rFonts w:asciiTheme="majorBidi" w:hAnsiTheme="majorBidi" w:cstheme="majorBidi"/>
          <w:color w:val="auto"/>
          <w:kern w:val="0"/>
          <w14:ligatures w14:val="none"/>
        </w:rPr>
        <w:t>This hospital-based prospective observational study was conducted on children diagnosed with hemolytic uremic syndrome (HUS) who were admitted to the Pediatric Nephrology Unit at our university hospital. The study was carried out over a two-year period from November 2023 to October 2025 after approval by the institutional ethical committee. Written informed consent was obtained from the parents or legal guardians of all participants. A total of 43 patients were enrolled, including cases  which were admitted either to the pediatric ward or pediatric intensive care unit according to their clinical condition.</w:t>
      </w:r>
    </w:p>
    <w:p w:rsidR="009A769D" w:rsidRPr="008E4182" w:rsidRDefault="009A769D" w:rsidP="009A769D">
      <w:pPr>
        <w:spacing w:before="100" w:beforeAutospacing="1" w:after="100" w:afterAutospacing="1" w:line="240" w:lineRule="auto"/>
        <w:ind w:left="0" w:firstLine="0"/>
        <w:rPr>
          <w:rFonts w:asciiTheme="majorBidi" w:hAnsiTheme="majorBidi" w:cstheme="majorBidi"/>
          <w:color w:val="auto"/>
          <w:kern w:val="0"/>
          <w14:ligatures w14:val="none"/>
        </w:rPr>
      </w:pPr>
      <w:r w:rsidRPr="008E4182">
        <w:rPr>
          <w:rFonts w:asciiTheme="majorBidi" w:hAnsiTheme="majorBidi" w:cstheme="majorBidi"/>
          <w:b/>
          <w:bCs/>
          <w:color w:val="auto"/>
          <w:kern w:val="0"/>
          <w:sz w:val="27"/>
          <w:szCs w:val="27"/>
          <w14:ligatures w14:val="none"/>
        </w:rPr>
        <w:t>Inclusion and exclusion criteria:</w:t>
      </w:r>
      <w:r w:rsidRPr="008E4182">
        <w:rPr>
          <w:rFonts w:asciiTheme="majorBidi" w:hAnsiTheme="majorBidi" w:cstheme="majorBidi"/>
          <w:color w:val="auto"/>
          <w:kern w:val="0"/>
          <w14:ligatures w14:val="none"/>
        </w:rPr>
        <w:t xml:space="preserve"> Eligible patients included children beyond the neonatal period up to 16 years of age who fulfilled the diagnostic criteria for HUS  based on the presence of the classical triad of </w:t>
      </w:r>
      <w:proofErr w:type="spellStart"/>
      <w:r w:rsidRPr="008E4182">
        <w:rPr>
          <w:rFonts w:asciiTheme="majorBidi" w:hAnsiTheme="majorBidi" w:cstheme="majorBidi"/>
          <w:color w:val="auto"/>
          <w:kern w:val="0"/>
          <w14:ligatures w14:val="none"/>
        </w:rPr>
        <w:t>microangiopathic</w:t>
      </w:r>
      <w:proofErr w:type="spellEnd"/>
      <w:r w:rsidRPr="008E4182">
        <w:rPr>
          <w:rFonts w:asciiTheme="majorBidi" w:hAnsiTheme="majorBidi" w:cstheme="majorBidi"/>
          <w:color w:val="auto"/>
          <w:kern w:val="0"/>
          <w14:ligatures w14:val="none"/>
        </w:rPr>
        <w:t xml:space="preserve"> hemolytic anemia, thrombocytopenia, and acute kidney injury. Hemolytic anemia was defined by hemoglobin levels below the age-specific normal range and/or laboratory evidence of hemolysis, including the presence of </w:t>
      </w:r>
      <w:proofErr w:type="spellStart"/>
      <w:r w:rsidRPr="008E4182">
        <w:rPr>
          <w:rFonts w:asciiTheme="majorBidi" w:hAnsiTheme="majorBidi" w:cstheme="majorBidi"/>
          <w:color w:val="auto"/>
          <w:kern w:val="0"/>
          <w14:ligatures w14:val="none"/>
        </w:rPr>
        <w:t>schistocytes</w:t>
      </w:r>
      <w:proofErr w:type="spellEnd"/>
      <w:r w:rsidRPr="008E4182">
        <w:rPr>
          <w:rFonts w:asciiTheme="majorBidi" w:hAnsiTheme="majorBidi" w:cstheme="majorBidi"/>
          <w:color w:val="auto"/>
          <w:kern w:val="0"/>
          <w14:ligatures w14:val="none"/>
        </w:rPr>
        <w:t>, elevated reticulocyte count, and increased serum lactate dehydrogenase levels. Thrombocytopenia was defined as a platelet count less than 150,000/mm³. Acute kidney injury was diagnosed by elevated serum creatinine above the age-specific normal range, microscopic hematuria, and/or proteinuria. Exclusion criteria included neonates, patients older than 16 years, patients with incomplete follow-up, and cases of HUS secondary to systemic diseases such as systemic lupus erythematosus, drug-induced HUS, post-transplantation HUS, thrombotic thrombocytopenic purpura (TTP), or disseminated intravascular coagulation (DIC).</w:t>
      </w:r>
    </w:p>
    <w:p w:rsidR="009A769D" w:rsidRPr="00B7524F" w:rsidRDefault="009A769D" w:rsidP="00B7524F">
      <w:pPr>
        <w:spacing w:before="100" w:beforeAutospacing="1" w:after="100" w:afterAutospacing="1" w:line="240" w:lineRule="auto"/>
        <w:ind w:left="0" w:firstLine="0"/>
        <w:outlineLvl w:val="2"/>
        <w:rPr>
          <w:rFonts w:asciiTheme="majorBidi" w:hAnsiTheme="majorBidi" w:cstheme="majorBidi"/>
          <w:color w:val="auto"/>
          <w:kern w:val="0"/>
          <w14:ligatures w14:val="none"/>
        </w:rPr>
      </w:pPr>
      <w:r w:rsidRPr="008E4182">
        <w:rPr>
          <w:rFonts w:asciiTheme="majorBidi" w:hAnsiTheme="majorBidi" w:cstheme="majorBidi"/>
          <w:b/>
          <w:bCs/>
          <w:color w:val="auto"/>
          <w:kern w:val="0"/>
          <w:sz w:val="27"/>
          <w:szCs w:val="27"/>
          <w14:ligatures w14:val="none"/>
        </w:rPr>
        <w:t>Clinical assessment :</w:t>
      </w:r>
      <w:r w:rsidRPr="008E4182">
        <w:rPr>
          <w:rFonts w:asciiTheme="majorBidi" w:hAnsiTheme="majorBidi" w:cstheme="majorBidi"/>
          <w:color w:val="auto"/>
          <w:kern w:val="0"/>
          <w14:ligatures w14:val="none"/>
        </w:rPr>
        <w:t>All patients underwent detailed history taking with emphasis on onset and duration of illness, history of bloody diarrhea, oliguria or anuria, recent infections, similar illness in the family, recurrence, previous blood transfusions, or unexplained anemia. A thorough clinical examination was performed, including general and local examination, vital signs, level of consciousness, and anthropometric measurements. Based on clinical criteria, patients were subdivided into two groups: Group A included patients with typical HUS presenting with prodromal diarrhea, while Group B included patients with atypical HUS characterized by absence of prodromal diarrhea and/or history of recurrence</w:t>
      </w:r>
      <w:r w:rsidR="00B7524F">
        <w:rPr>
          <w:rFonts w:asciiTheme="majorBidi" w:hAnsiTheme="majorBidi" w:cstheme="majorBidi"/>
          <w:color w:val="auto"/>
          <w:kern w:val="0"/>
          <w14:ligatures w14:val="none"/>
        </w:rPr>
        <w:t>.</w:t>
      </w:r>
    </w:p>
    <w:p w:rsidR="009A769D" w:rsidRPr="008E4182" w:rsidRDefault="009A769D" w:rsidP="009A769D">
      <w:pPr>
        <w:ind w:right="2"/>
        <w:rPr>
          <w:rFonts w:asciiTheme="majorBidi" w:hAnsiTheme="majorBidi" w:cstheme="majorBidi"/>
        </w:rPr>
      </w:pPr>
      <w:r w:rsidRPr="008E4182">
        <w:rPr>
          <w:rFonts w:asciiTheme="majorBidi" w:hAnsiTheme="majorBidi" w:cstheme="majorBidi"/>
          <w:b/>
          <w:bCs/>
          <w:color w:val="auto"/>
          <w:kern w:val="0"/>
          <w:sz w:val="27"/>
          <w:szCs w:val="27"/>
          <w14:ligatures w14:val="none"/>
        </w:rPr>
        <w:t>Laboratory investigations</w:t>
      </w:r>
      <w:r w:rsidRPr="008E4182">
        <w:rPr>
          <w:rFonts w:asciiTheme="majorBidi" w:hAnsiTheme="majorBidi" w:cstheme="majorBidi"/>
          <w:b/>
        </w:rPr>
        <w:t xml:space="preserve"> </w:t>
      </w:r>
      <w:r w:rsidRPr="008E4182">
        <w:rPr>
          <w:rFonts w:asciiTheme="majorBidi" w:hAnsiTheme="majorBidi" w:cstheme="majorBidi"/>
        </w:rPr>
        <w:t xml:space="preserve"> were done, seven ml of venous whole blood withdrawn in an entire aseptic environment from each participant and distributed as</w:t>
      </w:r>
      <w:r w:rsidRPr="008E4182">
        <w:rPr>
          <w:rFonts w:asciiTheme="majorBidi" w:eastAsia="Calibri" w:hAnsiTheme="majorBidi" w:cstheme="majorBidi"/>
          <w:sz w:val="22"/>
        </w:rPr>
        <w:t xml:space="preserve"> </w:t>
      </w:r>
      <w:r w:rsidRPr="008E4182">
        <w:rPr>
          <w:rFonts w:asciiTheme="majorBidi" w:hAnsiTheme="majorBidi" w:cstheme="majorBidi"/>
        </w:rPr>
        <w:t xml:space="preserve">4ml were evacuated into a serum separator tube and were left for 30 min till clotting then centrifuged at 1500×g for 10 min. The separated serum was employed for the estimation of kidney function (Urea - Creatinine), liver function (ALT- AST, albumin, indirect bilirubin&amp; LDH ) and CRP using a chemical auto analyzer (Abbott, Architect c4000 Serial No.02p24-01, Japan.) according to </w:t>
      </w:r>
      <w:proofErr w:type="spellStart"/>
      <w:r w:rsidRPr="008E4182">
        <w:rPr>
          <w:rFonts w:asciiTheme="majorBidi" w:hAnsiTheme="majorBidi" w:cstheme="majorBidi"/>
        </w:rPr>
        <w:t>manufacturers</w:t>
      </w:r>
      <w:proofErr w:type="spellEnd"/>
      <w:r w:rsidRPr="008E4182">
        <w:rPr>
          <w:rFonts w:asciiTheme="majorBidi" w:hAnsiTheme="majorBidi" w:cstheme="majorBidi"/>
        </w:rPr>
        <w:t xml:space="preserve"> instruction .</w:t>
      </w:r>
      <w:r w:rsidRPr="008E4182">
        <w:rPr>
          <w:rFonts w:asciiTheme="majorBidi" w:eastAsia="Calibri" w:hAnsiTheme="majorBidi" w:cstheme="majorBidi"/>
          <w:sz w:val="22"/>
        </w:rPr>
        <w:t xml:space="preserve"> </w:t>
      </w:r>
      <w:r w:rsidRPr="008E4182">
        <w:rPr>
          <w:rFonts w:asciiTheme="majorBidi" w:hAnsiTheme="majorBidi" w:cstheme="majorBidi"/>
        </w:rPr>
        <w:t xml:space="preserve">Serum complement components C3 and C4 were quantified by </w:t>
      </w:r>
      <w:proofErr w:type="spellStart"/>
      <w:r w:rsidRPr="008E4182">
        <w:rPr>
          <w:rFonts w:asciiTheme="majorBidi" w:hAnsiTheme="majorBidi" w:cstheme="majorBidi"/>
        </w:rPr>
        <w:t>immunoturbidimetric</w:t>
      </w:r>
      <w:proofErr w:type="spellEnd"/>
      <w:r w:rsidRPr="008E4182">
        <w:rPr>
          <w:rFonts w:asciiTheme="majorBidi" w:hAnsiTheme="majorBidi" w:cstheme="majorBidi"/>
        </w:rPr>
        <w:t xml:space="preserve"> assay.</w:t>
      </w:r>
      <w:r w:rsidRPr="008E4182">
        <w:rPr>
          <w:rFonts w:asciiTheme="majorBidi" w:eastAsia="Calibri" w:hAnsiTheme="majorBidi" w:cstheme="majorBidi"/>
          <w:sz w:val="22"/>
        </w:rPr>
        <w:t xml:space="preserve"> </w:t>
      </w:r>
      <w:r w:rsidR="00A44688" w:rsidRPr="008E4182">
        <w:rPr>
          <w:rFonts w:asciiTheme="majorBidi" w:hAnsiTheme="majorBidi" w:cstheme="majorBidi"/>
        </w:rPr>
        <w:t>E</w:t>
      </w:r>
      <w:r w:rsidR="00A44688">
        <w:rPr>
          <w:rFonts w:asciiTheme="majorBidi" w:hAnsiTheme="majorBidi" w:cstheme="majorBidi"/>
        </w:rPr>
        <w:t xml:space="preserve"> </w:t>
      </w:r>
      <w:r w:rsidRPr="008E4182">
        <w:rPr>
          <w:rFonts w:asciiTheme="majorBidi" w:hAnsiTheme="majorBidi" w:cstheme="majorBidi"/>
        </w:rPr>
        <w:t>GFR was calculated from serum creatinine levels using the CKD-EPI equation, adjusted for age and sex,</w:t>
      </w:r>
      <w:r w:rsidRPr="008E4182">
        <w:rPr>
          <w:rFonts w:asciiTheme="majorBidi" w:eastAsia="Calibri" w:hAnsiTheme="majorBidi" w:cstheme="majorBidi"/>
          <w:sz w:val="22"/>
        </w:rPr>
        <w:t xml:space="preserve"> </w:t>
      </w:r>
      <w:r w:rsidRPr="008E4182">
        <w:rPr>
          <w:rFonts w:asciiTheme="majorBidi" w:hAnsiTheme="majorBidi" w:cstheme="majorBidi"/>
        </w:rPr>
        <w:t>EDTA blood tube and was used for CBC using a blood counter (</w:t>
      </w:r>
      <w:proofErr w:type="spellStart"/>
      <w:r w:rsidRPr="008E4182">
        <w:rPr>
          <w:rFonts w:asciiTheme="majorBidi" w:hAnsiTheme="majorBidi" w:cstheme="majorBidi"/>
        </w:rPr>
        <w:t>Sysmex</w:t>
      </w:r>
      <w:proofErr w:type="spellEnd"/>
      <w:r w:rsidRPr="008E4182">
        <w:rPr>
          <w:rFonts w:asciiTheme="majorBidi" w:hAnsiTheme="majorBidi" w:cstheme="majorBidi"/>
        </w:rPr>
        <w:t xml:space="preserve"> Xs800, Japan, Serial No. 63387) and blood film was done and stained  with Leishman stain then reticulocyte stained with brilliant </w:t>
      </w:r>
      <w:proofErr w:type="spellStart"/>
      <w:r w:rsidRPr="008E4182">
        <w:rPr>
          <w:rFonts w:asciiTheme="majorBidi" w:hAnsiTheme="majorBidi" w:cstheme="majorBidi"/>
        </w:rPr>
        <w:t>cresyl</w:t>
      </w:r>
      <w:proofErr w:type="spellEnd"/>
      <w:r w:rsidRPr="008E4182">
        <w:rPr>
          <w:rFonts w:asciiTheme="majorBidi" w:hAnsiTheme="majorBidi" w:cstheme="majorBidi"/>
        </w:rPr>
        <w:t xml:space="preserve"> blue, and counted manually,</w:t>
      </w:r>
      <w:r w:rsidRPr="008E4182">
        <w:rPr>
          <w:rFonts w:asciiTheme="majorBidi" w:eastAsia="Calibri" w:hAnsiTheme="majorBidi" w:cstheme="majorBidi"/>
          <w:sz w:val="22"/>
        </w:rPr>
        <w:t xml:space="preserve"> </w:t>
      </w:r>
      <w:r w:rsidR="00B7524F">
        <w:rPr>
          <w:rFonts w:asciiTheme="majorBidi" w:hAnsiTheme="majorBidi" w:cstheme="majorBidi"/>
        </w:rPr>
        <w:t xml:space="preserve">The direct </w:t>
      </w:r>
      <w:proofErr w:type="spellStart"/>
      <w:r w:rsidRPr="008E4182">
        <w:rPr>
          <w:rFonts w:asciiTheme="majorBidi" w:hAnsiTheme="majorBidi" w:cstheme="majorBidi"/>
        </w:rPr>
        <w:t>antiglobulin</w:t>
      </w:r>
      <w:proofErr w:type="spellEnd"/>
      <w:r w:rsidRPr="008E4182">
        <w:rPr>
          <w:rFonts w:asciiTheme="majorBidi" w:hAnsiTheme="majorBidi" w:cstheme="majorBidi"/>
        </w:rPr>
        <w:t xml:space="preserve"> test (DAT) was performed on EDTA </w:t>
      </w:r>
      <w:r w:rsidRPr="008E4182">
        <w:rPr>
          <w:rFonts w:asciiTheme="majorBidi" w:hAnsiTheme="majorBidi" w:cstheme="majorBidi"/>
        </w:rPr>
        <w:lastRenderedPageBreak/>
        <w:t>anticoagulated blood ,using reagent red cells and antihuman globulin reagent</w:t>
      </w:r>
      <w:r w:rsidRPr="008E4182">
        <w:rPr>
          <w:rFonts w:asciiTheme="majorBidi" w:eastAsia="Calibri" w:hAnsiTheme="majorBidi" w:cstheme="majorBidi"/>
          <w:sz w:val="22"/>
        </w:rPr>
        <w:t xml:space="preserve"> </w:t>
      </w:r>
      <w:r w:rsidRPr="008E4182">
        <w:rPr>
          <w:rFonts w:asciiTheme="majorBidi" w:hAnsiTheme="majorBidi" w:cstheme="majorBidi"/>
        </w:rPr>
        <w:t>On citrated plasma E</w:t>
      </w:r>
      <w:r w:rsidR="00B7524F">
        <w:rPr>
          <w:rFonts w:asciiTheme="majorBidi" w:hAnsiTheme="majorBidi" w:cstheme="majorBidi"/>
        </w:rPr>
        <w:t xml:space="preserve">SR was measured using the </w:t>
      </w:r>
      <w:proofErr w:type="spellStart"/>
      <w:r w:rsidR="00B7524F">
        <w:rPr>
          <w:rFonts w:asciiTheme="majorBidi" w:hAnsiTheme="majorBidi" w:cstheme="majorBidi"/>
        </w:rPr>
        <w:t>Wester</w:t>
      </w:r>
      <w:r w:rsidRPr="008E4182">
        <w:rPr>
          <w:rFonts w:asciiTheme="majorBidi" w:hAnsiTheme="majorBidi" w:cstheme="majorBidi"/>
        </w:rPr>
        <w:t>gren</w:t>
      </w:r>
      <w:proofErr w:type="spellEnd"/>
      <w:r w:rsidRPr="008E4182">
        <w:rPr>
          <w:rFonts w:asciiTheme="majorBidi" w:hAnsiTheme="majorBidi" w:cstheme="majorBidi"/>
        </w:rPr>
        <w:t xml:space="preserve"> method and  D-dimer levels were determined using an </w:t>
      </w:r>
      <w:r w:rsidR="000A7255">
        <w:rPr>
          <w:rFonts w:asciiTheme="majorBidi" w:hAnsiTheme="majorBidi" w:cstheme="majorBidi"/>
        </w:rPr>
        <w:t>immune</w:t>
      </w:r>
      <w:r w:rsidR="000A7255">
        <w:rPr>
          <w:rFonts w:asciiTheme="majorBidi" w:hAnsiTheme="majorBidi" w:cstheme="majorBidi" w:hint="cs"/>
          <w:rtl/>
        </w:rPr>
        <w:t xml:space="preserve"> </w:t>
      </w:r>
      <w:r w:rsidR="000A7255">
        <w:rPr>
          <w:rFonts w:asciiTheme="majorBidi" w:hAnsiTheme="majorBidi" w:cstheme="majorBidi"/>
        </w:rPr>
        <w:t>turbid</w:t>
      </w:r>
      <w:r w:rsidR="000A7255">
        <w:rPr>
          <w:rFonts w:asciiTheme="majorBidi" w:hAnsiTheme="majorBidi" w:cstheme="majorBidi" w:hint="cs"/>
          <w:rtl/>
        </w:rPr>
        <w:t xml:space="preserve"> </w:t>
      </w:r>
      <w:r w:rsidRPr="008E4182">
        <w:rPr>
          <w:rFonts w:asciiTheme="majorBidi" w:hAnsiTheme="majorBidi" w:cstheme="majorBidi"/>
        </w:rPr>
        <w:t>metric assay. Urine albumin–creatinine ratio (UACR) was determined from spot urine samples .</w:t>
      </w:r>
      <w:r w:rsidRPr="008E4182">
        <w:rPr>
          <w:rFonts w:asciiTheme="majorBidi" w:eastAsia="Calibri" w:hAnsiTheme="majorBidi" w:cstheme="majorBidi"/>
          <w:sz w:val="22"/>
        </w:rPr>
        <w:t xml:space="preserve"> </w:t>
      </w:r>
      <w:r w:rsidRPr="008E4182">
        <w:rPr>
          <w:rFonts w:asciiTheme="majorBidi" w:hAnsiTheme="majorBidi" w:cstheme="majorBidi"/>
        </w:rPr>
        <w:t>In stool sample , Shiga toxin– producing Escherichia coli (STEC) was performed using Human Vero toxin 1 +2 (Shiga Toxin 1 +2) ELISA Kit.  Cat No. MBS2611777.</w:t>
      </w:r>
      <w:r w:rsidRPr="008E4182">
        <w:rPr>
          <w:rFonts w:asciiTheme="majorBidi" w:eastAsia="Calibri" w:hAnsiTheme="majorBidi" w:cstheme="majorBidi"/>
          <w:sz w:val="22"/>
        </w:rPr>
        <w:t xml:space="preserve"> </w:t>
      </w:r>
      <w:r w:rsidRPr="008E4182">
        <w:rPr>
          <w:rFonts w:asciiTheme="majorBidi" w:hAnsiTheme="majorBidi" w:cstheme="majorBidi"/>
        </w:rPr>
        <w:t>Supplied by My BioSource, I</w:t>
      </w:r>
      <w:r w:rsidR="00B7524F">
        <w:rPr>
          <w:rFonts w:asciiTheme="majorBidi" w:hAnsiTheme="majorBidi" w:cstheme="majorBidi"/>
        </w:rPr>
        <w:t>nc., USA. Detection range was 0.156 ng/mL-10</w:t>
      </w:r>
      <w:r w:rsidRPr="008E4182">
        <w:rPr>
          <w:rFonts w:asciiTheme="majorBidi" w:hAnsiTheme="majorBidi" w:cstheme="majorBidi"/>
        </w:rPr>
        <w:t xml:space="preserve"> ng/mL and Sensitivity the minimum detectable Human Shiga Toxin 1 +2 up to 0.05 ng/mL</w:t>
      </w:r>
      <w:r w:rsidRPr="008E4182">
        <w:rPr>
          <w:rFonts w:asciiTheme="majorBidi" w:eastAsia="Calibri" w:hAnsiTheme="majorBidi" w:cstheme="majorBidi"/>
          <w:sz w:val="22"/>
        </w:rPr>
        <w:t xml:space="preserve"> </w:t>
      </w:r>
      <w:r w:rsidRPr="008E4182">
        <w:rPr>
          <w:rFonts w:asciiTheme="majorBidi" w:hAnsiTheme="majorBidi" w:cstheme="majorBidi"/>
        </w:rPr>
        <w:t>Measurement of ADAMT13 level was done using Assay Max™ Human ADAMTS13 ELISA Kit.</w:t>
      </w:r>
      <w:r w:rsidRPr="008E4182">
        <w:rPr>
          <w:rFonts w:asciiTheme="majorBidi" w:eastAsia="Calibri" w:hAnsiTheme="majorBidi" w:cstheme="majorBidi"/>
          <w:sz w:val="22"/>
        </w:rPr>
        <w:t xml:space="preserve"> </w:t>
      </w:r>
      <w:r w:rsidRPr="008E4182">
        <w:rPr>
          <w:rFonts w:asciiTheme="majorBidi" w:hAnsiTheme="majorBidi" w:cstheme="majorBidi"/>
        </w:rPr>
        <w:t>Catalog No. EA2550-1 supplied by ( Assay PRO, USA). Normal human ADAMTS13  serum levels range from 400 – 1800 ng/ ml.</w:t>
      </w:r>
      <w:r w:rsidRPr="008E4182">
        <w:rPr>
          <w:rFonts w:asciiTheme="majorBidi" w:eastAsia="Calibri" w:hAnsiTheme="majorBidi" w:cstheme="majorBidi"/>
          <w:sz w:val="22"/>
        </w:rPr>
        <w:t xml:space="preserve"> </w:t>
      </w:r>
      <w:r w:rsidRPr="008E4182">
        <w:rPr>
          <w:rFonts w:asciiTheme="majorBidi" w:hAnsiTheme="majorBidi" w:cstheme="majorBidi"/>
        </w:rPr>
        <w:t>Human complement factor (H) was done using Assay Max™ Human Complement Factor H ELISA Kit.</w:t>
      </w:r>
      <w:r w:rsidRPr="008E4182">
        <w:rPr>
          <w:rFonts w:asciiTheme="majorBidi" w:eastAsia="Calibri" w:hAnsiTheme="majorBidi" w:cstheme="majorBidi"/>
          <w:sz w:val="22"/>
        </w:rPr>
        <w:t xml:space="preserve"> </w:t>
      </w:r>
      <w:r w:rsidRPr="008E4182">
        <w:rPr>
          <w:rFonts w:asciiTheme="majorBidi" w:hAnsiTheme="majorBidi" w:cstheme="majorBidi"/>
        </w:rPr>
        <w:t>Catalog No. EF7055-1 supplied by (Assay PRO, USA ) . Normal human CFH plasma and serum levels range from 300 – 800 µg/ml.</w:t>
      </w:r>
      <w:r w:rsidRPr="008E4182">
        <w:rPr>
          <w:rFonts w:asciiTheme="majorBidi" w:eastAsia="Calibri" w:hAnsiTheme="majorBidi" w:cstheme="majorBidi"/>
          <w:sz w:val="22"/>
        </w:rPr>
        <w:t xml:space="preserve"> </w:t>
      </w:r>
      <w:r w:rsidRPr="008E4182">
        <w:rPr>
          <w:rFonts w:asciiTheme="majorBidi" w:hAnsiTheme="majorBidi" w:cstheme="majorBidi"/>
        </w:rPr>
        <w:t xml:space="preserve">Anti </w:t>
      </w:r>
      <w:r w:rsidR="00B7524F">
        <w:rPr>
          <w:rFonts w:asciiTheme="majorBidi" w:hAnsiTheme="majorBidi" w:cstheme="majorBidi"/>
        </w:rPr>
        <w:t>-</w:t>
      </w:r>
      <w:r w:rsidRPr="008E4182">
        <w:rPr>
          <w:rFonts w:asciiTheme="majorBidi" w:hAnsiTheme="majorBidi" w:cstheme="majorBidi"/>
        </w:rPr>
        <w:t xml:space="preserve">complement factor H was done using ELISA-VIDITEST anti-complement factor H,ODZ-166 supplied by VIDIA </w:t>
      </w:r>
      <w:proofErr w:type="spellStart"/>
      <w:r w:rsidRPr="008E4182">
        <w:rPr>
          <w:rFonts w:asciiTheme="majorBidi" w:hAnsiTheme="majorBidi" w:cstheme="majorBidi"/>
        </w:rPr>
        <w:t>spol</w:t>
      </w:r>
      <w:proofErr w:type="spellEnd"/>
      <w:r w:rsidRPr="008E4182">
        <w:rPr>
          <w:rFonts w:asciiTheme="majorBidi" w:hAnsiTheme="majorBidi" w:cstheme="majorBidi"/>
        </w:rPr>
        <w:t xml:space="preserve">. </w:t>
      </w:r>
      <w:proofErr w:type="spellStart"/>
      <w:r w:rsidRPr="008E4182">
        <w:rPr>
          <w:rFonts w:asciiTheme="majorBidi" w:hAnsiTheme="majorBidi" w:cstheme="majorBidi"/>
        </w:rPr>
        <w:t>Sr</w:t>
      </w:r>
      <w:proofErr w:type="spellEnd"/>
      <w:r w:rsidRPr="008E4182">
        <w:rPr>
          <w:rFonts w:asciiTheme="majorBidi" w:hAnsiTheme="majorBidi" w:cstheme="majorBidi"/>
        </w:rPr>
        <w:t xml:space="preserve"> .o., Czech Republic,</w:t>
      </w:r>
      <w:r w:rsidRPr="008E4182">
        <w:rPr>
          <w:rFonts w:asciiTheme="majorBidi" w:eastAsia="Calibri" w:hAnsiTheme="majorBidi" w:cstheme="majorBidi"/>
          <w:sz w:val="22"/>
        </w:rPr>
        <w:t xml:space="preserve"> </w:t>
      </w:r>
      <w:r w:rsidRPr="008E4182">
        <w:rPr>
          <w:rFonts w:asciiTheme="majorBidi" w:hAnsiTheme="majorBidi" w:cstheme="majorBidi"/>
        </w:rPr>
        <w:t>Samples with concentrations lower than 3.9 AU/mL (the lowest standard) interpret as &lt;3.9 AU/mL of anti-CFH IgG. Samples with concentrations higher than 250 AU/mL interpret as &gt;250 AU/mL .</w:t>
      </w:r>
    </w:p>
    <w:p w:rsidR="009A769D" w:rsidRPr="008E4182" w:rsidRDefault="009A769D" w:rsidP="009A769D">
      <w:pPr>
        <w:spacing w:before="100" w:beforeAutospacing="1" w:after="100" w:afterAutospacing="1" w:line="240" w:lineRule="auto"/>
        <w:ind w:left="0" w:firstLine="0"/>
        <w:jc w:val="left"/>
        <w:outlineLvl w:val="2"/>
        <w:rPr>
          <w:rFonts w:asciiTheme="majorBidi" w:hAnsiTheme="majorBidi" w:cstheme="majorBidi"/>
          <w:b/>
          <w:bCs/>
          <w:color w:val="auto"/>
          <w:kern w:val="0"/>
          <w:sz w:val="27"/>
          <w:szCs w:val="27"/>
          <w14:ligatures w14:val="none"/>
        </w:rPr>
      </w:pPr>
      <w:r w:rsidRPr="008E4182">
        <w:rPr>
          <w:rFonts w:asciiTheme="majorBidi" w:hAnsiTheme="majorBidi" w:cstheme="majorBidi"/>
          <w:b/>
          <w:bCs/>
          <w:color w:val="auto"/>
          <w:kern w:val="0"/>
          <w:sz w:val="27"/>
          <w:szCs w:val="27"/>
          <w14:ligatures w14:val="none"/>
        </w:rPr>
        <w:t>Follow-up and outcomes</w:t>
      </w:r>
    </w:p>
    <w:p w:rsidR="009A769D" w:rsidRPr="008E4182" w:rsidRDefault="009A769D" w:rsidP="009A769D">
      <w:pPr>
        <w:spacing w:before="100" w:beforeAutospacing="1" w:after="100" w:afterAutospacing="1" w:line="240" w:lineRule="auto"/>
        <w:ind w:left="0" w:firstLine="0"/>
        <w:rPr>
          <w:rFonts w:asciiTheme="majorBidi" w:hAnsiTheme="majorBidi" w:cstheme="majorBidi"/>
          <w:color w:val="auto"/>
          <w:kern w:val="0"/>
          <w14:ligatures w14:val="none"/>
        </w:rPr>
      </w:pPr>
      <w:r w:rsidRPr="008E4182">
        <w:rPr>
          <w:rFonts w:asciiTheme="majorBidi" w:hAnsiTheme="majorBidi" w:cstheme="majorBidi"/>
          <w:color w:val="auto"/>
          <w:kern w:val="0"/>
          <w14:ligatures w14:val="none"/>
        </w:rPr>
        <w:t>Patients were followed for a period of three months. Outcomes assessed included recovery, development of chronic kidney disease, persistence of proteinuria or hypertension, need for chronic dialysis, requirement for renal replacement therapy or plasmapheresis, and mortality. Renal and extra</w:t>
      </w:r>
      <w:r w:rsidR="00A44688">
        <w:rPr>
          <w:rFonts w:asciiTheme="majorBidi" w:hAnsiTheme="majorBidi" w:cstheme="majorBidi"/>
          <w:color w:val="auto"/>
          <w:kern w:val="0"/>
          <w14:ligatures w14:val="none"/>
        </w:rPr>
        <w:t xml:space="preserve"> </w:t>
      </w:r>
      <w:r w:rsidRPr="008E4182">
        <w:rPr>
          <w:rFonts w:asciiTheme="majorBidi" w:hAnsiTheme="majorBidi" w:cstheme="majorBidi"/>
          <w:color w:val="auto"/>
          <w:kern w:val="0"/>
          <w14:ligatures w14:val="none"/>
        </w:rPr>
        <w:t>renal complications were also recorded during the follow-up period.</w:t>
      </w:r>
    </w:p>
    <w:p w:rsidR="009A769D" w:rsidRPr="008E4182" w:rsidRDefault="009A769D" w:rsidP="009A769D">
      <w:pPr>
        <w:spacing w:after="170" w:line="259" w:lineRule="auto"/>
        <w:ind w:left="39"/>
        <w:jc w:val="left"/>
        <w:rPr>
          <w:rFonts w:asciiTheme="majorBidi" w:hAnsiTheme="majorBidi" w:cstheme="majorBidi"/>
        </w:rPr>
      </w:pPr>
      <w:r w:rsidRPr="008E4182">
        <w:rPr>
          <w:rFonts w:asciiTheme="majorBidi" w:hAnsiTheme="majorBidi" w:cstheme="majorBidi"/>
          <w:b/>
        </w:rPr>
        <w:t xml:space="preserve">Ethical approval </w:t>
      </w:r>
    </w:p>
    <w:p w:rsidR="00B7524F" w:rsidRPr="00B7524F" w:rsidRDefault="009A769D" w:rsidP="00B7524F">
      <w:pPr>
        <w:ind w:left="39" w:right="2"/>
        <w:rPr>
          <w:rFonts w:asciiTheme="majorBidi" w:hAnsiTheme="majorBidi" w:cstheme="majorBidi"/>
        </w:rPr>
      </w:pPr>
      <w:r w:rsidRPr="008E4182">
        <w:rPr>
          <w:rFonts w:asciiTheme="majorBidi" w:hAnsiTheme="majorBidi" w:cstheme="majorBidi"/>
        </w:rPr>
        <w:t xml:space="preserve">The study duration was from November 2023 till the end of October 2025 after obtaining the acceptance from Institutional Research Board at our university (code no </w:t>
      </w:r>
      <w:r w:rsidRPr="008E4182">
        <w:rPr>
          <w:rFonts w:asciiTheme="majorBidi" w:hAnsiTheme="majorBidi" w:cstheme="majorBidi"/>
          <w:b/>
          <w:bCs/>
        </w:rPr>
        <w:t>MD.4-9-2023</w:t>
      </w:r>
      <w:r w:rsidRPr="008E4182">
        <w:rPr>
          <w:rFonts w:asciiTheme="majorBidi" w:hAnsiTheme="majorBidi" w:cstheme="majorBidi"/>
        </w:rPr>
        <w:t xml:space="preserve">) and obtaining written informed consent from all the participants ,including data about aim of work ,study design ,site ,time  ,subject ,tool and confidentiality . </w:t>
      </w:r>
    </w:p>
    <w:p w:rsidR="009A769D" w:rsidRPr="008E4182" w:rsidRDefault="009A769D" w:rsidP="009A769D">
      <w:pPr>
        <w:spacing w:after="170" w:line="259" w:lineRule="auto"/>
        <w:ind w:left="39"/>
        <w:jc w:val="left"/>
        <w:rPr>
          <w:rFonts w:asciiTheme="majorBidi" w:hAnsiTheme="majorBidi" w:cstheme="majorBidi"/>
        </w:rPr>
      </w:pPr>
      <w:r w:rsidRPr="008E4182">
        <w:rPr>
          <w:rFonts w:asciiTheme="majorBidi" w:hAnsiTheme="majorBidi" w:cstheme="majorBidi"/>
          <w:b/>
        </w:rPr>
        <w:t xml:space="preserve">Statistical analysis </w:t>
      </w:r>
    </w:p>
    <w:p w:rsidR="009A769D" w:rsidRDefault="009A769D" w:rsidP="009A769D">
      <w:pPr>
        <w:spacing w:after="243"/>
        <w:ind w:left="39" w:right="2"/>
        <w:rPr>
          <w:rFonts w:asciiTheme="majorBidi" w:hAnsiTheme="majorBidi" w:cstheme="majorBidi"/>
        </w:rPr>
      </w:pPr>
      <w:r w:rsidRPr="008E4182">
        <w:rPr>
          <w:rFonts w:asciiTheme="majorBidi" w:hAnsiTheme="majorBidi" w:cstheme="majorBidi"/>
        </w:rPr>
        <w:t>The data were examined and coded. The Statistical Package for Social Sciences program was used to do statistical analysis on these numerical codes Version 22 (SPSS 22).Quantitative variables were described using their means and standard deviations or median and range according to type of data. Independent student t-test and Mann- Whitney U test for comparison of numerical data between 2 groups, One way ANOVA for comparison of numerical data between more than 2 groups, Chi</w:t>
      </w:r>
      <w:r w:rsidRPr="008E4182">
        <w:rPr>
          <w:rFonts w:asciiTheme="majorBidi" w:hAnsiTheme="majorBidi" w:cstheme="majorBidi"/>
          <w:rtl/>
        </w:rPr>
        <w:t>-</w:t>
      </w:r>
      <w:r w:rsidRPr="008E4182">
        <w:rPr>
          <w:rFonts w:asciiTheme="majorBidi" w:hAnsiTheme="majorBidi" w:cstheme="majorBidi"/>
        </w:rPr>
        <w:t>square test for comparison of non-numerical data. Receiver operating characteristic curves (ROC) were used to identify sensitivity, specificity and determine optimal cutoff points of initial factor H for prediction of chronicity and mortality in pediatric HUS. P &gt;0.05 was considered non-significant</w:t>
      </w:r>
      <w:r w:rsidRPr="008E4182">
        <w:rPr>
          <w:rFonts w:asciiTheme="majorBidi" w:hAnsiTheme="majorBidi" w:cstheme="majorBidi"/>
          <w:rtl/>
        </w:rPr>
        <w:t xml:space="preserve"> </w:t>
      </w:r>
      <w:r w:rsidRPr="008E4182">
        <w:rPr>
          <w:rFonts w:asciiTheme="majorBidi" w:hAnsiTheme="majorBidi" w:cstheme="majorBidi"/>
        </w:rPr>
        <w:t xml:space="preserve"> .p&lt;0.05 was considered statistically significant and p&lt;0.001 was highly significant </w:t>
      </w:r>
    </w:p>
    <w:p w:rsidR="00B7524F" w:rsidRPr="008E4182" w:rsidRDefault="00B7524F" w:rsidP="009A769D">
      <w:pPr>
        <w:spacing w:after="243"/>
        <w:ind w:left="39" w:right="2"/>
        <w:rPr>
          <w:rFonts w:asciiTheme="majorBidi" w:hAnsiTheme="majorBidi" w:cstheme="majorBidi"/>
        </w:rPr>
      </w:pPr>
    </w:p>
    <w:p w:rsidR="009A769D" w:rsidRPr="008E4182" w:rsidRDefault="009A769D" w:rsidP="009A769D">
      <w:pPr>
        <w:pStyle w:val="a7"/>
        <w:numPr>
          <w:ilvl w:val="0"/>
          <w:numId w:val="1"/>
        </w:numPr>
        <w:spacing w:after="132" w:line="259" w:lineRule="auto"/>
        <w:rPr>
          <w:rFonts w:asciiTheme="majorBidi" w:hAnsiTheme="majorBidi" w:cstheme="majorBidi"/>
          <w:b/>
          <w:rtl/>
        </w:rPr>
      </w:pPr>
      <w:r w:rsidRPr="008E4182">
        <w:rPr>
          <w:rFonts w:asciiTheme="majorBidi" w:hAnsiTheme="majorBidi" w:cstheme="majorBidi"/>
          <w:b/>
        </w:rPr>
        <w:lastRenderedPageBreak/>
        <w:t xml:space="preserve">Results </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 xml:space="preserve">The present study included 43 children diagnosed with hemolytic uremic syndrome (HUS); 29 patients (67.4%) were males and 14 (32.6%) were females. Their ages ranged from 6 months to 13 years, with a median age of 24 months. Typical HUS (Group A) was identified in 23 patients (53.5%), whereas atypical HUS (Group B) was diagnosed in 20 patients (46.5%) </w:t>
      </w:r>
      <w:r w:rsidRPr="008E4182">
        <w:rPr>
          <w:rFonts w:asciiTheme="majorBidi" w:hAnsiTheme="majorBidi" w:cstheme="majorBidi"/>
          <w:b/>
          <w:bCs/>
        </w:rPr>
        <w:t>(Table 1).</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 xml:space="preserve">Regarding outcomes, 14 patients (60%) in the typical HUS group achieved complete recovery, while 5 patients (21%) developed chronic kidney disease (CKD). No cases of end-stage renal disease (ESRD) were recorded in this group, and 4 patients (17%) did not survive. In contrast, only 6 patients (30%) with atypical HUS showed complete recovery, whereas 11 patients (55%) developed CKD, 2 patients (10%) progressed to ESRD requiring regular dialysis, and 1 patient (5%) died </w:t>
      </w:r>
      <w:r w:rsidRPr="008E4182">
        <w:rPr>
          <w:rFonts w:asciiTheme="majorBidi" w:hAnsiTheme="majorBidi" w:cstheme="majorBidi"/>
          <w:b/>
          <w:bCs/>
        </w:rPr>
        <w:t>(Figure 2)</w:t>
      </w:r>
      <w:r w:rsidRPr="008E4182">
        <w:rPr>
          <w:rFonts w:asciiTheme="majorBidi" w:hAnsiTheme="majorBidi" w:cstheme="majorBidi"/>
        </w:rPr>
        <w:t>.</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 xml:space="preserve">Children with atypical HUS were significantly older than those with typical HUS (7.8 ± 1.2 years vs. 1.25 ± 0.3 years, </w:t>
      </w:r>
      <w:r w:rsidRPr="008E4182">
        <w:rPr>
          <w:rStyle w:val="a9"/>
          <w:rFonts w:asciiTheme="majorBidi" w:hAnsiTheme="majorBidi" w:cstheme="majorBidi"/>
        </w:rPr>
        <w:t>p</w:t>
      </w:r>
      <w:r w:rsidRPr="008E4182">
        <w:rPr>
          <w:rFonts w:asciiTheme="majorBidi" w:hAnsiTheme="majorBidi" w:cstheme="majorBidi"/>
        </w:rPr>
        <w:t xml:space="preserve"> &lt; 0.001). Typical HUS was strongly associated with bloody diarrhea (92% vs. 0%, </w:t>
      </w:r>
      <w:r w:rsidRPr="008E4182">
        <w:rPr>
          <w:rStyle w:val="a9"/>
          <w:rFonts w:asciiTheme="majorBidi" w:hAnsiTheme="majorBidi" w:cstheme="majorBidi"/>
        </w:rPr>
        <w:t>p</w:t>
      </w:r>
      <w:r w:rsidRPr="008E4182">
        <w:rPr>
          <w:rFonts w:asciiTheme="majorBidi" w:hAnsiTheme="majorBidi" w:cstheme="majorBidi"/>
        </w:rPr>
        <w:t xml:space="preserve"> &lt; 0.001), fever (</w:t>
      </w:r>
      <w:r w:rsidRPr="008E4182">
        <w:rPr>
          <w:rStyle w:val="a9"/>
          <w:rFonts w:asciiTheme="majorBidi" w:hAnsiTheme="majorBidi" w:cstheme="majorBidi"/>
        </w:rPr>
        <w:t>p</w:t>
      </w:r>
      <w:r w:rsidRPr="008E4182">
        <w:rPr>
          <w:rFonts w:asciiTheme="majorBidi" w:hAnsiTheme="majorBidi" w:cstheme="majorBidi"/>
        </w:rPr>
        <w:t xml:space="preserve"> &lt; 0.05), and dehydration (</w:t>
      </w:r>
      <w:r w:rsidRPr="008E4182">
        <w:rPr>
          <w:rStyle w:val="a9"/>
          <w:rFonts w:asciiTheme="majorBidi" w:hAnsiTheme="majorBidi" w:cstheme="majorBidi"/>
        </w:rPr>
        <w:t>p</w:t>
      </w:r>
      <w:r w:rsidRPr="008E4182">
        <w:rPr>
          <w:rFonts w:asciiTheme="majorBidi" w:hAnsiTheme="majorBidi" w:cstheme="majorBidi"/>
        </w:rPr>
        <w:t xml:space="preserve"> &lt; 0.05). In contrast, atypical HUS was associated with a higher frequency of edema (90% vs. 43.4%, </w:t>
      </w:r>
      <w:r w:rsidRPr="008E4182">
        <w:rPr>
          <w:rStyle w:val="a9"/>
          <w:rFonts w:asciiTheme="majorBidi" w:hAnsiTheme="majorBidi" w:cstheme="majorBidi"/>
        </w:rPr>
        <w:t>p</w:t>
      </w:r>
      <w:r w:rsidRPr="008E4182">
        <w:rPr>
          <w:rFonts w:asciiTheme="majorBidi" w:hAnsiTheme="majorBidi" w:cstheme="majorBidi"/>
        </w:rPr>
        <w:t xml:space="preserve"> &lt; 0.05), respiratory symptoms including cough (</w:t>
      </w:r>
      <w:r w:rsidRPr="008E4182">
        <w:rPr>
          <w:rStyle w:val="a9"/>
          <w:rFonts w:asciiTheme="majorBidi" w:hAnsiTheme="majorBidi" w:cstheme="majorBidi"/>
        </w:rPr>
        <w:t>p</w:t>
      </w:r>
      <w:r w:rsidRPr="008E4182">
        <w:rPr>
          <w:rFonts w:asciiTheme="majorBidi" w:hAnsiTheme="majorBidi" w:cstheme="majorBidi"/>
        </w:rPr>
        <w:t xml:space="preserve"> &lt; 0.05), and respiratory distress (</w:t>
      </w:r>
      <w:r w:rsidRPr="008E4182">
        <w:rPr>
          <w:rStyle w:val="a9"/>
          <w:rFonts w:asciiTheme="majorBidi" w:hAnsiTheme="majorBidi" w:cstheme="majorBidi"/>
        </w:rPr>
        <w:t>p</w:t>
      </w:r>
      <w:r w:rsidRPr="008E4182">
        <w:rPr>
          <w:rFonts w:asciiTheme="majorBidi" w:hAnsiTheme="majorBidi" w:cstheme="majorBidi"/>
        </w:rPr>
        <w:t xml:space="preserve"> &lt; 0.05). No statistically significant differences were observed between the two groups regarding sex distribution, vomiting, oliguria, anuria, or neurological manifestations </w:t>
      </w:r>
      <w:r w:rsidRPr="008E4182">
        <w:rPr>
          <w:rFonts w:asciiTheme="majorBidi" w:hAnsiTheme="majorBidi" w:cstheme="majorBidi"/>
          <w:b/>
          <w:bCs/>
        </w:rPr>
        <w:t>(Table 2).</w:t>
      </w:r>
    </w:p>
    <w:p w:rsidR="009A769D" w:rsidRPr="008E4182" w:rsidRDefault="009A769D" w:rsidP="00B7524F">
      <w:pPr>
        <w:pStyle w:val="a3"/>
        <w:jc w:val="both"/>
        <w:rPr>
          <w:rFonts w:asciiTheme="majorBidi" w:hAnsiTheme="majorBidi" w:cstheme="majorBidi"/>
          <w:b/>
          <w:bCs/>
        </w:rPr>
      </w:pPr>
      <w:r w:rsidRPr="008E4182">
        <w:rPr>
          <w:rFonts w:asciiTheme="majorBidi" w:hAnsiTheme="majorBidi" w:cstheme="majorBidi"/>
        </w:rPr>
        <w:t>Laboratory findings revealed no significant differences between the two groups in baseline hematological parameters, including hemoglobin level, platelet count, leukocyte count, and lactate dehydrogenase (LDH). However, hematological recovery was significantly delayed in atypical HUS, with longer times to hemoglobin and platelet remission compared to typical HUS (</w:t>
      </w:r>
      <w:r w:rsidRPr="008E4182">
        <w:rPr>
          <w:rStyle w:val="a9"/>
          <w:rFonts w:asciiTheme="majorBidi" w:hAnsiTheme="majorBidi" w:cstheme="majorBidi"/>
        </w:rPr>
        <w:t>p</w:t>
      </w:r>
      <w:r w:rsidRPr="008E4182">
        <w:rPr>
          <w:rFonts w:asciiTheme="majorBidi" w:hAnsiTheme="majorBidi" w:cstheme="majorBidi"/>
        </w:rPr>
        <w:t xml:space="preserve"> &lt; 0.05). In addition, atypical HUS patients demonstrated significantly higher erythrocyte sedimentation rate (ESR) values (</w:t>
      </w:r>
      <w:r w:rsidR="00A44688">
        <w:rPr>
          <w:rFonts w:asciiTheme="majorBidi" w:hAnsiTheme="majorBidi" w:cstheme="majorBidi"/>
        </w:rPr>
        <w:t>135.3 ± 12.2 vs. 57.6 ± 6.3 mm/</w:t>
      </w:r>
      <w:proofErr w:type="spellStart"/>
      <w:r w:rsidR="00A44688">
        <w:rPr>
          <w:rFonts w:asciiTheme="majorBidi" w:hAnsiTheme="majorBidi" w:cstheme="majorBidi"/>
        </w:rPr>
        <w:t>H</w:t>
      </w:r>
      <w:r w:rsidRPr="008E4182">
        <w:rPr>
          <w:rFonts w:asciiTheme="majorBidi" w:hAnsiTheme="majorBidi" w:cstheme="majorBidi"/>
        </w:rPr>
        <w:t>r</w:t>
      </w:r>
      <w:proofErr w:type="spellEnd"/>
      <w:r w:rsidRPr="008E4182">
        <w:rPr>
          <w:rFonts w:asciiTheme="majorBidi" w:hAnsiTheme="majorBidi" w:cstheme="majorBidi"/>
        </w:rPr>
        <w:t xml:space="preserve">, </w:t>
      </w:r>
      <w:r w:rsidRPr="008E4182">
        <w:rPr>
          <w:rStyle w:val="a9"/>
          <w:rFonts w:asciiTheme="majorBidi" w:hAnsiTheme="majorBidi" w:cstheme="majorBidi"/>
        </w:rPr>
        <w:t>p</w:t>
      </w:r>
      <w:r w:rsidRPr="008E4182">
        <w:rPr>
          <w:rFonts w:asciiTheme="majorBidi" w:hAnsiTheme="majorBidi" w:cstheme="majorBidi"/>
        </w:rPr>
        <w:t xml:space="preserve"> &lt; 0.001), lower serum C3 levels (</w:t>
      </w:r>
      <w:r w:rsidRPr="008E4182">
        <w:rPr>
          <w:rStyle w:val="a9"/>
          <w:rFonts w:asciiTheme="majorBidi" w:hAnsiTheme="majorBidi" w:cstheme="majorBidi"/>
        </w:rPr>
        <w:t>p</w:t>
      </w:r>
      <w:r w:rsidRPr="008E4182">
        <w:rPr>
          <w:rFonts w:asciiTheme="majorBidi" w:hAnsiTheme="majorBidi" w:cstheme="majorBidi"/>
        </w:rPr>
        <w:t xml:space="preserve"> &lt; 0.05), and lower serum sodium levels (</w:t>
      </w:r>
      <w:r w:rsidRPr="008E4182">
        <w:rPr>
          <w:rStyle w:val="a9"/>
          <w:rFonts w:asciiTheme="majorBidi" w:hAnsiTheme="majorBidi" w:cstheme="majorBidi"/>
        </w:rPr>
        <w:t>p</w:t>
      </w:r>
      <w:r w:rsidRPr="008E4182">
        <w:rPr>
          <w:rFonts w:asciiTheme="majorBidi" w:hAnsiTheme="majorBidi" w:cstheme="majorBidi"/>
        </w:rPr>
        <w:t xml:space="preserve"> &lt; 0.05). Renal function indices, liver function tests, and other electrolyte levels did not differ significantly at presentation between the two groups </w:t>
      </w:r>
      <w:r w:rsidRPr="008E4182">
        <w:rPr>
          <w:rFonts w:asciiTheme="majorBidi" w:hAnsiTheme="majorBidi" w:cstheme="majorBidi"/>
          <w:b/>
          <w:bCs/>
        </w:rPr>
        <w:t>(Table 3).</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Patients with atypical HUS required significantly more antihypertensive medications (</w:t>
      </w:r>
      <w:r w:rsidRPr="008E4182">
        <w:rPr>
          <w:rStyle w:val="a9"/>
          <w:rFonts w:asciiTheme="majorBidi" w:hAnsiTheme="majorBidi" w:cstheme="majorBidi"/>
        </w:rPr>
        <w:t>p</w:t>
      </w:r>
      <w:r w:rsidRPr="008E4182">
        <w:rPr>
          <w:rFonts w:asciiTheme="majorBidi" w:hAnsiTheme="majorBidi" w:cstheme="majorBidi"/>
        </w:rPr>
        <w:t xml:space="preserve"> &lt; 0.05)</w:t>
      </w:r>
      <w:r w:rsidRPr="008E4182">
        <w:rPr>
          <w:rFonts w:asciiTheme="majorBidi" w:hAnsiTheme="majorBidi" w:cstheme="majorBidi"/>
          <w:rtl/>
        </w:rPr>
        <w:t xml:space="preserve"> </w:t>
      </w:r>
      <w:r w:rsidRPr="008E4182">
        <w:rPr>
          <w:rFonts w:asciiTheme="majorBidi" w:hAnsiTheme="majorBidi" w:cstheme="majorBidi"/>
        </w:rPr>
        <w:t xml:space="preserve"> and immunosuppressive therapy (</w:t>
      </w:r>
      <w:r w:rsidRPr="008E4182">
        <w:rPr>
          <w:rStyle w:val="a9"/>
          <w:rFonts w:asciiTheme="majorBidi" w:hAnsiTheme="majorBidi" w:cstheme="majorBidi"/>
        </w:rPr>
        <w:t>p</w:t>
      </w:r>
      <w:r w:rsidRPr="008E4182">
        <w:rPr>
          <w:rFonts w:asciiTheme="majorBidi" w:hAnsiTheme="majorBidi" w:cstheme="majorBidi"/>
        </w:rPr>
        <w:t xml:space="preserve"> &lt; 0.01). They also experienced longer dialysis duration (</w:t>
      </w:r>
      <w:r w:rsidRPr="008E4182">
        <w:rPr>
          <w:rStyle w:val="a9"/>
          <w:rFonts w:asciiTheme="majorBidi" w:hAnsiTheme="majorBidi" w:cstheme="majorBidi"/>
        </w:rPr>
        <w:t>p</w:t>
      </w:r>
      <w:r w:rsidRPr="008E4182">
        <w:rPr>
          <w:rFonts w:asciiTheme="majorBidi" w:hAnsiTheme="majorBidi" w:cstheme="majorBidi"/>
        </w:rPr>
        <w:t xml:space="preserve"> &lt; 0.05), higher pediatric intensive care unit (PICU) admission rates (</w:t>
      </w:r>
      <w:r w:rsidRPr="008E4182">
        <w:rPr>
          <w:rStyle w:val="a9"/>
          <w:rFonts w:asciiTheme="majorBidi" w:hAnsiTheme="majorBidi" w:cstheme="majorBidi"/>
        </w:rPr>
        <w:t>p</w:t>
      </w:r>
      <w:r w:rsidRPr="008E4182">
        <w:rPr>
          <w:rFonts w:asciiTheme="majorBidi" w:hAnsiTheme="majorBidi" w:cstheme="majorBidi"/>
        </w:rPr>
        <w:t xml:space="preserve"> &lt; 0.05), prolonged hospital stay (</w:t>
      </w:r>
      <w:r w:rsidRPr="008E4182">
        <w:rPr>
          <w:rStyle w:val="a9"/>
          <w:rFonts w:asciiTheme="majorBidi" w:hAnsiTheme="majorBidi" w:cstheme="majorBidi"/>
        </w:rPr>
        <w:t>p</w:t>
      </w:r>
      <w:r w:rsidRPr="008E4182">
        <w:rPr>
          <w:rFonts w:asciiTheme="majorBidi" w:hAnsiTheme="majorBidi" w:cstheme="majorBidi"/>
        </w:rPr>
        <w:t xml:space="preserve"> &lt; 0.01),  Complete recovery was significantly more common in typical HUS (61% vs. 30%, </w:t>
      </w:r>
      <w:r w:rsidRPr="008E4182">
        <w:rPr>
          <w:rStyle w:val="a9"/>
          <w:rFonts w:asciiTheme="majorBidi" w:hAnsiTheme="majorBidi" w:cstheme="majorBidi"/>
        </w:rPr>
        <w:t>p</w:t>
      </w:r>
      <w:r w:rsidRPr="008E4182">
        <w:rPr>
          <w:rFonts w:asciiTheme="majorBidi" w:hAnsiTheme="majorBidi" w:cstheme="majorBidi"/>
        </w:rPr>
        <w:t xml:space="preserve"> &lt; 0.05), whereas proteinuria, hypertension, and CKD were significantly more frequent in atypical HUS (</w:t>
      </w:r>
      <w:r w:rsidRPr="008E4182">
        <w:rPr>
          <w:rStyle w:val="a9"/>
          <w:rFonts w:asciiTheme="majorBidi" w:hAnsiTheme="majorBidi" w:cstheme="majorBidi"/>
        </w:rPr>
        <w:t>p</w:t>
      </w:r>
      <w:r w:rsidRPr="008E4182">
        <w:rPr>
          <w:rFonts w:asciiTheme="majorBidi" w:hAnsiTheme="majorBidi" w:cstheme="majorBidi"/>
        </w:rPr>
        <w:t xml:space="preserve"> &lt; 0.05) </w:t>
      </w:r>
      <w:r w:rsidRPr="008E4182">
        <w:rPr>
          <w:rFonts w:asciiTheme="majorBidi" w:hAnsiTheme="majorBidi" w:cstheme="majorBidi"/>
          <w:b/>
          <w:bCs/>
        </w:rPr>
        <w:t>(Table 4).</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Analysis of predictors of CKD versus complete recovery showed that CKD was significantly associated with atypical HUS (</w:t>
      </w:r>
      <w:r w:rsidRPr="008E4182">
        <w:rPr>
          <w:rStyle w:val="a9"/>
          <w:rFonts w:asciiTheme="majorBidi" w:hAnsiTheme="majorBidi" w:cstheme="majorBidi"/>
        </w:rPr>
        <w:t>p</w:t>
      </w:r>
      <w:r w:rsidRPr="008E4182">
        <w:rPr>
          <w:rFonts w:asciiTheme="majorBidi" w:hAnsiTheme="majorBidi" w:cstheme="majorBidi"/>
        </w:rPr>
        <w:t xml:space="preserve"> &lt; 0.05), convulsions (</w:t>
      </w:r>
      <w:r w:rsidRPr="008E4182">
        <w:rPr>
          <w:rStyle w:val="a9"/>
          <w:rFonts w:asciiTheme="majorBidi" w:hAnsiTheme="majorBidi" w:cstheme="majorBidi"/>
        </w:rPr>
        <w:t>p</w:t>
      </w:r>
      <w:r w:rsidRPr="008E4182">
        <w:rPr>
          <w:rFonts w:asciiTheme="majorBidi" w:hAnsiTheme="majorBidi" w:cstheme="majorBidi"/>
        </w:rPr>
        <w:t xml:space="preserve"> &lt; 0.05), hypertension (</w:t>
      </w:r>
      <w:r w:rsidRPr="008E4182">
        <w:rPr>
          <w:rStyle w:val="a9"/>
          <w:rFonts w:asciiTheme="majorBidi" w:hAnsiTheme="majorBidi" w:cstheme="majorBidi"/>
        </w:rPr>
        <w:t>p</w:t>
      </w:r>
      <w:r w:rsidRPr="008E4182">
        <w:rPr>
          <w:rFonts w:asciiTheme="majorBidi" w:hAnsiTheme="majorBidi" w:cstheme="majorBidi"/>
        </w:rPr>
        <w:t xml:space="preserve"> &lt; 0.05), edema (</w:t>
      </w:r>
      <w:r w:rsidRPr="008E4182">
        <w:rPr>
          <w:rStyle w:val="a9"/>
          <w:rFonts w:asciiTheme="majorBidi" w:hAnsiTheme="majorBidi" w:cstheme="majorBidi"/>
        </w:rPr>
        <w:t>p</w:t>
      </w:r>
      <w:r w:rsidRPr="008E4182">
        <w:rPr>
          <w:rFonts w:asciiTheme="majorBidi" w:hAnsiTheme="majorBidi" w:cstheme="majorBidi"/>
        </w:rPr>
        <w:t xml:space="preserve"> &lt; 0.01), and impaired renal function at presentation, including elevated serum creatinine (</w:t>
      </w:r>
      <w:r w:rsidRPr="008E4182">
        <w:rPr>
          <w:rStyle w:val="a9"/>
          <w:rFonts w:asciiTheme="majorBidi" w:hAnsiTheme="majorBidi" w:cstheme="majorBidi"/>
        </w:rPr>
        <w:t>p</w:t>
      </w:r>
      <w:r w:rsidRPr="008E4182">
        <w:rPr>
          <w:rFonts w:asciiTheme="majorBidi" w:hAnsiTheme="majorBidi" w:cstheme="majorBidi"/>
        </w:rPr>
        <w:t xml:space="preserve"> &lt; 0.05), reduced glomerular filtration rate (GFR) (</w:t>
      </w:r>
      <w:r w:rsidRPr="008E4182">
        <w:rPr>
          <w:rStyle w:val="a9"/>
          <w:rFonts w:asciiTheme="majorBidi" w:hAnsiTheme="majorBidi" w:cstheme="majorBidi"/>
        </w:rPr>
        <w:t>p</w:t>
      </w:r>
      <w:r w:rsidRPr="008E4182">
        <w:rPr>
          <w:rFonts w:asciiTheme="majorBidi" w:hAnsiTheme="majorBidi" w:cstheme="majorBidi"/>
        </w:rPr>
        <w:t xml:space="preserve"> &lt; 0.01), hyponatremia (</w:t>
      </w:r>
      <w:r w:rsidRPr="008E4182">
        <w:rPr>
          <w:rStyle w:val="a9"/>
          <w:rFonts w:asciiTheme="majorBidi" w:hAnsiTheme="majorBidi" w:cstheme="majorBidi"/>
        </w:rPr>
        <w:t>p</w:t>
      </w:r>
      <w:r w:rsidRPr="008E4182">
        <w:rPr>
          <w:rFonts w:asciiTheme="majorBidi" w:hAnsiTheme="majorBidi" w:cstheme="majorBidi"/>
        </w:rPr>
        <w:t xml:space="preserve"> &lt; 0.01), and low serum C3 levels (</w:t>
      </w:r>
      <w:r w:rsidRPr="008E4182">
        <w:rPr>
          <w:rStyle w:val="a9"/>
          <w:rFonts w:asciiTheme="majorBidi" w:hAnsiTheme="majorBidi" w:cstheme="majorBidi"/>
        </w:rPr>
        <w:t>p</w:t>
      </w:r>
      <w:r w:rsidRPr="008E4182">
        <w:rPr>
          <w:rFonts w:asciiTheme="majorBidi" w:hAnsiTheme="majorBidi" w:cstheme="majorBidi"/>
        </w:rPr>
        <w:t xml:space="preserve"> &lt; 0.01). Conversely, presentation with oliguria was more frequently associated with recovery than with CKD (</w:t>
      </w:r>
      <w:r w:rsidRPr="008E4182">
        <w:rPr>
          <w:rStyle w:val="a9"/>
          <w:rFonts w:asciiTheme="majorBidi" w:hAnsiTheme="majorBidi" w:cstheme="majorBidi"/>
        </w:rPr>
        <w:t>p</w:t>
      </w:r>
      <w:r w:rsidRPr="008E4182">
        <w:rPr>
          <w:rFonts w:asciiTheme="majorBidi" w:hAnsiTheme="majorBidi" w:cstheme="majorBidi"/>
        </w:rPr>
        <w:t xml:space="preserve"> &lt; 0.01) </w:t>
      </w:r>
      <w:r w:rsidRPr="008E4182">
        <w:rPr>
          <w:rFonts w:asciiTheme="majorBidi" w:hAnsiTheme="majorBidi" w:cstheme="majorBidi"/>
          <w:b/>
          <w:bCs/>
        </w:rPr>
        <w:t>(Table 5).</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lastRenderedPageBreak/>
        <w:t>Mortality was significantly associated with younger age (</w:t>
      </w:r>
      <w:r w:rsidRPr="008E4182">
        <w:rPr>
          <w:rStyle w:val="a9"/>
          <w:rFonts w:asciiTheme="majorBidi" w:hAnsiTheme="majorBidi" w:cstheme="majorBidi"/>
        </w:rPr>
        <w:t>p</w:t>
      </w:r>
      <w:r w:rsidRPr="008E4182">
        <w:rPr>
          <w:rFonts w:asciiTheme="majorBidi" w:hAnsiTheme="majorBidi" w:cstheme="majorBidi"/>
        </w:rPr>
        <w:t xml:space="preserve"> &lt; 0.05), typical HUS (</w:t>
      </w:r>
      <w:r w:rsidRPr="008E4182">
        <w:rPr>
          <w:rStyle w:val="a9"/>
          <w:rFonts w:asciiTheme="majorBidi" w:hAnsiTheme="majorBidi" w:cstheme="majorBidi"/>
        </w:rPr>
        <w:t>p</w:t>
      </w:r>
      <w:r w:rsidRPr="008E4182">
        <w:rPr>
          <w:rFonts w:asciiTheme="majorBidi" w:hAnsiTheme="majorBidi" w:cstheme="majorBidi"/>
        </w:rPr>
        <w:t xml:space="preserve"> &lt; 0.05), convulsions (</w:t>
      </w:r>
      <w:r w:rsidRPr="008E4182">
        <w:rPr>
          <w:rStyle w:val="a9"/>
          <w:rFonts w:asciiTheme="majorBidi" w:hAnsiTheme="majorBidi" w:cstheme="majorBidi"/>
        </w:rPr>
        <w:t>p</w:t>
      </w:r>
      <w:r w:rsidRPr="008E4182">
        <w:rPr>
          <w:rFonts w:asciiTheme="majorBidi" w:hAnsiTheme="majorBidi" w:cstheme="majorBidi"/>
        </w:rPr>
        <w:t xml:space="preserve"> &lt; 0.01), dermatological manifestations (</w:t>
      </w:r>
      <w:r w:rsidRPr="008E4182">
        <w:rPr>
          <w:rStyle w:val="a9"/>
          <w:rFonts w:asciiTheme="majorBidi" w:hAnsiTheme="majorBidi" w:cstheme="majorBidi"/>
        </w:rPr>
        <w:t>p</w:t>
      </w:r>
      <w:r w:rsidRPr="008E4182">
        <w:rPr>
          <w:rFonts w:asciiTheme="majorBidi" w:hAnsiTheme="majorBidi" w:cstheme="majorBidi"/>
        </w:rPr>
        <w:t xml:space="preserve"> &lt; 0.01), and gastrointestinal complications (</w:t>
      </w:r>
      <w:r w:rsidRPr="008E4182">
        <w:rPr>
          <w:rStyle w:val="a9"/>
          <w:rFonts w:asciiTheme="majorBidi" w:hAnsiTheme="majorBidi" w:cstheme="majorBidi"/>
        </w:rPr>
        <w:t>p</w:t>
      </w:r>
      <w:r w:rsidRPr="008E4182">
        <w:rPr>
          <w:rFonts w:asciiTheme="majorBidi" w:hAnsiTheme="majorBidi" w:cstheme="majorBidi"/>
        </w:rPr>
        <w:t xml:space="preserve"> &lt; 0.001). Non-survivors exhibited more severe anemia, thrombocytopenia, renal impairment, hyperkalemia, hypoalbuminemia, elevated LDH levels, and markedly reduced serum C3 levels (all </w:t>
      </w:r>
      <w:r w:rsidRPr="008E4182">
        <w:rPr>
          <w:rStyle w:val="a9"/>
          <w:rFonts w:asciiTheme="majorBidi" w:hAnsiTheme="majorBidi" w:cstheme="majorBidi"/>
        </w:rPr>
        <w:t>p</w:t>
      </w:r>
      <w:r w:rsidRPr="008E4182">
        <w:rPr>
          <w:rFonts w:asciiTheme="majorBidi" w:hAnsiTheme="majorBidi" w:cstheme="majorBidi"/>
        </w:rPr>
        <w:t xml:space="preserve"> &lt; 0.05 </w:t>
      </w:r>
      <w:r w:rsidRPr="008E4182">
        <w:rPr>
          <w:rFonts w:asciiTheme="majorBidi" w:hAnsiTheme="majorBidi" w:cstheme="majorBidi"/>
          <w:b/>
          <w:bCs/>
        </w:rPr>
        <w:t>(Table 6).</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 xml:space="preserve">Positive stool culture and Shiga toxin testing showed poor predictive performance for mortality in typical HUS cases. In contrast, initial GFR demonstrated excellent predictive accuracy (AUC = 0.981) </w:t>
      </w:r>
      <w:r w:rsidRPr="008E4182">
        <w:rPr>
          <w:rFonts w:asciiTheme="majorBidi" w:hAnsiTheme="majorBidi" w:cstheme="majorBidi"/>
          <w:b/>
          <w:bCs/>
        </w:rPr>
        <w:t>(Table7).</w:t>
      </w:r>
    </w:p>
    <w:p w:rsidR="009A769D" w:rsidRPr="008E4182" w:rsidRDefault="009A769D" w:rsidP="00B7524F">
      <w:pPr>
        <w:pStyle w:val="a3"/>
        <w:jc w:val="both"/>
        <w:rPr>
          <w:rFonts w:asciiTheme="majorBidi" w:hAnsiTheme="majorBidi" w:cstheme="majorBidi"/>
        </w:rPr>
      </w:pPr>
      <w:r w:rsidRPr="008E4182">
        <w:rPr>
          <w:rFonts w:asciiTheme="majorBidi" w:hAnsiTheme="majorBidi" w:cstheme="majorBidi"/>
        </w:rPr>
        <w:t xml:space="preserve">In atypical HUS cases, ROC curve analysis revealed that serum C3, factor H levels, and initial GFR were associated with an increased risk of chronicity, with moderate diagnostic performance. The cutoff values were 68, 51, and 12.5, respectively, with sensitivities of 72%, 68%, and 72%, specificities of 44%, 55%, and 33%, and AUC values of 0.667, 0.606, and 0.667, respectively </w:t>
      </w:r>
      <w:r w:rsidRPr="008E4182">
        <w:rPr>
          <w:rFonts w:asciiTheme="majorBidi" w:hAnsiTheme="majorBidi" w:cstheme="majorBidi"/>
          <w:b/>
          <w:bCs/>
        </w:rPr>
        <w:t>(Table 8, Figure 3).</w:t>
      </w:r>
    </w:p>
    <w:p w:rsidR="009A769D" w:rsidRPr="008E4182" w:rsidRDefault="009A769D" w:rsidP="00B7524F">
      <w:pPr>
        <w:pStyle w:val="a3"/>
        <w:jc w:val="both"/>
        <w:rPr>
          <w:rFonts w:asciiTheme="majorBidi" w:hAnsiTheme="majorBidi" w:cstheme="majorBidi"/>
          <w:b/>
          <w:bCs/>
        </w:rPr>
      </w:pPr>
      <w:r w:rsidRPr="008E4182">
        <w:rPr>
          <w:rFonts w:asciiTheme="majorBidi" w:hAnsiTheme="majorBidi" w:cstheme="majorBidi"/>
        </w:rPr>
        <w:t xml:space="preserve">Furthermore, ROC curve analysis for mortality prediction demonstrated that initial GFR had the highest predictive accuracy, with its curve closest to the upper left corner, indicating optimal sensitivity and specificity. Serum C3 showed good discriminative ability, while factor H demonstrated poor discrimination when used as an isolated predictor of mortality </w:t>
      </w:r>
      <w:r w:rsidRPr="008E4182">
        <w:rPr>
          <w:rFonts w:asciiTheme="majorBidi" w:hAnsiTheme="majorBidi" w:cstheme="majorBidi"/>
          <w:b/>
          <w:bCs/>
        </w:rPr>
        <w:t>(Figure 4).</w:t>
      </w:r>
    </w:p>
    <w:p w:rsidR="009A769D" w:rsidRPr="008E4182" w:rsidRDefault="009A769D" w:rsidP="009A769D">
      <w:pPr>
        <w:spacing w:after="160" w:line="278" w:lineRule="auto"/>
        <w:ind w:left="0" w:firstLine="0"/>
        <w:jc w:val="left"/>
        <w:rPr>
          <w:rFonts w:asciiTheme="majorBidi" w:hAnsiTheme="majorBidi" w:cstheme="majorBidi"/>
          <w:b/>
          <w:bCs/>
          <w:color w:val="auto"/>
          <w:kern w:val="0"/>
          <w14:ligatures w14:val="none"/>
        </w:rPr>
      </w:pPr>
      <w:r w:rsidRPr="008E4182">
        <w:rPr>
          <w:rFonts w:asciiTheme="majorBidi" w:hAnsiTheme="majorBidi" w:cstheme="majorBidi"/>
          <w:b/>
          <w:bCs/>
        </w:rPr>
        <w:br w:type="page"/>
      </w: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lastRenderedPageBreak/>
        <w:t xml:space="preserve">Table 1: study descriptive overview </w:t>
      </w:r>
      <w:r w:rsidRPr="008E4182">
        <w:rPr>
          <w:rFonts w:asciiTheme="majorBidi" w:hAnsiTheme="majorBidi" w:cstheme="majorBidi"/>
        </w:rPr>
        <w:t xml:space="preserve"> </w:t>
      </w:r>
    </w:p>
    <w:tbl>
      <w:tblPr>
        <w:tblStyle w:val="TableGrid"/>
        <w:tblW w:w="7323" w:type="dxa"/>
        <w:jc w:val="center"/>
        <w:tblInd w:w="538" w:type="dxa"/>
        <w:tblCellMar>
          <w:top w:w="45" w:type="dxa"/>
          <w:left w:w="106" w:type="dxa"/>
          <w:right w:w="2" w:type="dxa"/>
        </w:tblCellMar>
        <w:tblLook w:val="04A0" w:firstRow="1" w:lastRow="0" w:firstColumn="1" w:lastColumn="0" w:noHBand="0" w:noVBand="1"/>
      </w:tblPr>
      <w:tblGrid>
        <w:gridCol w:w="2387"/>
        <w:gridCol w:w="4936"/>
      </w:tblGrid>
      <w:tr w:rsidR="009A769D" w:rsidRPr="00EF594D" w:rsidTr="00B7524F">
        <w:trPr>
          <w:trHeight w:val="293"/>
          <w:jc w:val="center"/>
        </w:trPr>
        <w:tc>
          <w:tcPr>
            <w:tcW w:w="2387"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Total study population  </w:t>
            </w: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43 </w:t>
            </w:r>
          </w:p>
        </w:tc>
      </w:tr>
      <w:tr w:rsidR="009A769D" w:rsidRPr="00EF594D" w:rsidTr="00B7524F">
        <w:trPr>
          <w:trHeight w:val="288"/>
          <w:jc w:val="center"/>
        </w:trPr>
        <w:tc>
          <w:tcPr>
            <w:tcW w:w="2387" w:type="dxa"/>
            <w:vMerge w:val="restart"/>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Age (in months) </w:t>
            </w: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Min : 6 </w:t>
            </w:r>
          </w:p>
        </w:tc>
      </w:tr>
      <w:tr w:rsidR="009A769D" w:rsidRPr="00EF594D" w:rsidTr="00B7524F">
        <w:trPr>
          <w:trHeight w:val="288"/>
          <w:jc w:val="center"/>
        </w:trPr>
        <w:tc>
          <w:tcPr>
            <w:tcW w:w="0" w:type="auto"/>
            <w:vMerge/>
            <w:tcBorders>
              <w:top w:val="nil"/>
              <w:left w:val="single" w:sz="4" w:space="0" w:color="000000"/>
              <w:bottom w:val="nil"/>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Max : 165  </w:t>
            </w:r>
          </w:p>
        </w:tc>
      </w:tr>
      <w:tr w:rsidR="009A769D" w:rsidRPr="00EF594D" w:rsidTr="00B7524F">
        <w:trPr>
          <w:trHeight w:val="283"/>
          <w:jc w:val="center"/>
        </w:trPr>
        <w:tc>
          <w:tcPr>
            <w:tcW w:w="0" w:type="auto"/>
            <w:vMerge/>
            <w:tcBorders>
              <w:top w:val="nil"/>
              <w:left w:val="single" w:sz="4" w:space="0" w:color="000000"/>
              <w:bottom w:val="single" w:sz="4" w:space="0" w:color="000000"/>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Median : 24  </w:t>
            </w:r>
          </w:p>
        </w:tc>
      </w:tr>
      <w:tr w:rsidR="009A769D" w:rsidRPr="00EF594D" w:rsidTr="00B7524F">
        <w:trPr>
          <w:trHeight w:val="288"/>
          <w:jc w:val="center"/>
        </w:trPr>
        <w:tc>
          <w:tcPr>
            <w:tcW w:w="2387" w:type="dxa"/>
            <w:vMerge w:val="restart"/>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Gender  </w:t>
            </w: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Males: 29 (67.4%) </w:t>
            </w:r>
          </w:p>
        </w:tc>
      </w:tr>
      <w:tr w:rsidR="009A769D" w:rsidRPr="00EF594D" w:rsidTr="00B7524F">
        <w:trPr>
          <w:trHeight w:val="283"/>
          <w:jc w:val="center"/>
        </w:trPr>
        <w:tc>
          <w:tcPr>
            <w:tcW w:w="0" w:type="auto"/>
            <w:vMerge/>
            <w:tcBorders>
              <w:top w:val="nil"/>
              <w:left w:val="single" w:sz="4" w:space="0" w:color="000000"/>
              <w:bottom w:val="single" w:sz="4" w:space="0" w:color="000000"/>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Females :14 (32.6%) </w:t>
            </w:r>
          </w:p>
        </w:tc>
      </w:tr>
      <w:tr w:rsidR="009A769D" w:rsidRPr="00EF594D" w:rsidTr="00B7524F">
        <w:trPr>
          <w:trHeight w:val="293"/>
          <w:jc w:val="center"/>
        </w:trPr>
        <w:tc>
          <w:tcPr>
            <w:tcW w:w="2387" w:type="dxa"/>
            <w:vMerge w:val="restart"/>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HUS type </w:t>
            </w: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Typical :23 (53.5%) </w:t>
            </w:r>
          </w:p>
        </w:tc>
      </w:tr>
      <w:tr w:rsidR="009A769D" w:rsidRPr="00EF594D" w:rsidTr="00B7524F">
        <w:trPr>
          <w:trHeight w:val="283"/>
          <w:jc w:val="center"/>
        </w:trPr>
        <w:tc>
          <w:tcPr>
            <w:tcW w:w="0" w:type="auto"/>
            <w:vMerge/>
            <w:tcBorders>
              <w:top w:val="nil"/>
              <w:left w:val="single" w:sz="4" w:space="0" w:color="000000"/>
              <w:bottom w:val="single" w:sz="4" w:space="0" w:color="000000"/>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4936"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A-typical : 20 (46.5%) </w:t>
            </w:r>
          </w:p>
        </w:tc>
      </w:tr>
    </w:tbl>
    <w:p w:rsidR="009A769D" w:rsidRPr="008E4182" w:rsidRDefault="009A769D" w:rsidP="009A769D">
      <w:pPr>
        <w:spacing w:after="357" w:line="259" w:lineRule="auto"/>
        <w:ind w:left="44" w:firstLine="0"/>
        <w:jc w:val="left"/>
        <w:rPr>
          <w:rFonts w:asciiTheme="majorBidi" w:hAnsiTheme="majorBidi" w:cstheme="majorBidi"/>
        </w:rPr>
      </w:pPr>
      <w:r w:rsidRPr="008E4182">
        <w:rPr>
          <w:rFonts w:asciiTheme="majorBidi" w:hAnsiTheme="majorBidi" w:cstheme="majorBidi"/>
          <w:b/>
        </w:rPr>
        <w:t xml:space="preserve"> </w:t>
      </w:r>
    </w:p>
    <w:p w:rsidR="009A769D" w:rsidRPr="008E4182" w:rsidRDefault="009A769D" w:rsidP="009A769D">
      <w:pPr>
        <w:spacing w:after="112" w:line="259" w:lineRule="auto"/>
        <w:ind w:left="0" w:firstLine="0"/>
        <w:jc w:val="left"/>
        <w:rPr>
          <w:rFonts w:asciiTheme="majorBidi" w:hAnsiTheme="majorBidi" w:cstheme="majorBidi"/>
          <w:b/>
        </w:rPr>
      </w:pPr>
      <w:r w:rsidRPr="008E4182">
        <w:rPr>
          <w:rFonts w:asciiTheme="majorBidi" w:hAnsiTheme="majorBidi" w:cstheme="majorBidi"/>
          <w:b/>
        </w:rPr>
        <w:t>Table 2: Clinical Characteristics and Systemic Manifestations in Typical HUS</w:t>
      </w:r>
    </w:p>
    <w:p w:rsidR="009A769D" w:rsidRPr="008E4182" w:rsidRDefault="009A769D" w:rsidP="009A769D">
      <w:pPr>
        <w:spacing w:after="112" w:line="259" w:lineRule="auto"/>
        <w:ind w:left="39"/>
        <w:jc w:val="left"/>
        <w:rPr>
          <w:rFonts w:asciiTheme="majorBidi" w:eastAsiaTheme="minorHAnsi" w:hAnsiTheme="majorBidi" w:cstheme="majorBidi"/>
          <w:color w:val="auto"/>
          <w:sz w:val="36"/>
          <w:szCs w:val="36"/>
        </w:rPr>
      </w:pPr>
      <w:r w:rsidRPr="008E4182">
        <w:rPr>
          <w:rFonts w:asciiTheme="majorBidi" w:hAnsiTheme="majorBidi" w:cstheme="majorBidi"/>
          <w:b/>
        </w:rPr>
        <w:t xml:space="preserve">(Group A) vs Atypical (Group B) . </w:t>
      </w:r>
    </w:p>
    <w:tbl>
      <w:tblPr>
        <w:tblStyle w:val="a8"/>
        <w:tblW w:w="0" w:type="auto"/>
        <w:jc w:val="center"/>
        <w:tblLook w:val="04A0" w:firstRow="1" w:lastRow="0" w:firstColumn="1" w:lastColumn="0" w:noHBand="0" w:noVBand="1"/>
      </w:tblPr>
      <w:tblGrid>
        <w:gridCol w:w="1884"/>
        <w:gridCol w:w="1735"/>
        <w:gridCol w:w="1410"/>
        <w:gridCol w:w="1272"/>
        <w:gridCol w:w="1063"/>
        <w:gridCol w:w="1213"/>
      </w:tblGrid>
      <w:tr w:rsidR="009A769D" w:rsidRPr="00EF594D" w:rsidTr="00B7524F">
        <w:trPr>
          <w:jc w:val="center"/>
        </w:trPr>
        <w:tc>
          <w:tcPr>
            <w:tcW w:w="3870" w:type="dxa"/>
            <w:gridSpan w:val="2"/>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Clinical parameters </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Group A</w:t>
            </w:r>
          </w:p>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N= 23</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Group C</w:t>
            </w:r>
          </w:p>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N= 20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vertAlign w:val="superscript"/>
              </w:rPr>
            </w:pPr>
            <w:r w:rsidRPr="00EF594D">
              <w:rPr>
                <w:rFonts w:asciiTheme="majorBidi" w:eastAsiaTheme="minorHAnsi" w:hAnsiTheme="majorBidi" w:cstheme="majorBidi"/>
                <w:color w:val="auto"/>
              </w:rPr>
              <w:t>X</w:t>
            </w:r>
            <w:r w:rsidRPr="00EF594D">
              <w:rPr>
                <w:rFonts w:asciiTheme="majorBidi" w:eastAsiaTheme="minorHAnsi" w:hAnsiTheme="majorBidi" w:cstheme="majorBidi"/>
                <w:color w:val="auto"/>
                <w:vertAlign w:val="superscript"/>
              </w:rPr>
              <w:t>2</w:t>
            </w:r>
            <w:r w:rsidRPr="00EF594D">
              <w:rPr>
                <w:rFonts w:asciiTheme="majorBidi" w:eastAsiaTheme="minorHAnsi" w:hAnsiTheme="majorBidi" w:cstheme="majorBidi"/>
                <w:color w:val="auto"/>
              </w:rPr>
              <w:t xml:space="preserve"> /t </w:t>
            </w:r>
            <w:r w:rsidRPr="00EF594D">
              <w:rPr>
                <w:rFonts w:asciiTheme="majorBidi" w:eastAsiaTheme="minorHAnsi" w:hAnsiTheme="majorBidi" w:cstheme="majorBidi"/>
                <w:color w:val="auto"/>
                <w:vertAlign w:val="superscript"/>
              </w:rPr>
              <w:t xml:space="preserve">   </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P</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Demographics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Male</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16(70%)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13(65%)</w:t>
            </w:r>
          </w:p>
        </w:tc>
        <w:tc>
          <w:tcPr>
            <w:tcW w:w="1188"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0.0102</w:t>
            </w:r>
          </w:p>
        </w:tc>
        <w:tc>
          <w:tcPr>
            <w:tcW w:w="1348"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0.750</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Females </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 (30%)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7(35%)</w:t>
            </w:r>
          </w:p>
        </w:tc>
        <w:tc>
          <w:tcPr>
            <w:tcW w:w="1188"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348"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Age(years)</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1.25±0.3</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7.8±1.2</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10.5</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&lt;0.001*</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General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Fever</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23(100%)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15(75%)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6.5</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vertAlign w:val="superscript"/>
              </w:rPr>
            </w:pPr>
            <w:r w:rsidRPr="00EF594D">
              <w:rPr>
                <w:rFonts w:asciiTheme="majorBidi" w:eastAsiaTheme="minorHAnsi" w:hAnsiTheme="majorBidi" w:cstheme="majorBidi"/>
                <w:b/>
                <w:bCs/>
                <w:i/>
                <w:iCs/>
                <w:color w:val="auto"/>
              </w:rPr>
              <w:t>&lt;0.05</w:t>
            </w:r>
            <w:r w:rsidRPr="00EF594D">
              <w:rPr>
                <w:rFonts w:asciiTheme="majorBidi" w:eastAsiaTheme="minorHAnsi" w:hAnsiTheme="majorBidi" w:cstheme="majorBidi"/>
                <w:b/>
                <w:bCs/>
                <w:i/>
                <w:iCs/>
                <w:color w:val="auto"/>
                <w:vertAlign w:val="superscript"/>
              </w:rPr>
              <w:t>*</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Dehydration</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10(43.4%)</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3(15%)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4.1</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&lt;0.05*</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Gastrointestinal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Vomiting</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20(86.9%)</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15(75%)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1.0</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0.315</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Bloody diarrhea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21(92%)</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43</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&lt;0.001*</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Watery diarrhea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2(8%)</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1.8</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0.177</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Jaundice</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16(69.5%)</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16 (80%)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0.6</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0.43</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Renal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Dark urine</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14(60.8%)</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13(65%)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0.07</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0.780</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Oliguria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16 (70%)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12(60%)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0.05</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0.818</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Anuria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7(30%)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8(40%)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0.6</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0.425</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Edema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13 (34.4%)</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18(90%)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5.9</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&lt;0.05*</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Hypertension</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15(65%)</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18(90%)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3.6</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0.55</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Neurological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Disturbed conscious</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3(13%)</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2.8</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0.094</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Convulsion</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8(34%)</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7(35%)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2.2</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0.988</w:t>
            </w:r>
          </w:p>
        </w:tc>
      </w:tr>
      <w:tr w:rsidR="009A769D" w:rsidRPr="00EF594D" w:rsidTr="00B7524F">
        <w:trPr>
          <w:jc w:val="center"/>
        </w:trPr>
        <w:tc>
          <w:tcPr>
            <w:tcW w:w="1984"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Hematology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Purpura</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7(30%)</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6(30%)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9.5</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0.795</w:t>
            </w:r>
          </w:p>
        </w:tc>
      </w:tr>
      <w:tr w:rsidR="009A769D" w:rsidRPr="00EF594D" w:rsidTr="00B7524F">
        <w:trPr>
          <w:jc w:val="center"/>
        </w:trPr>
        <w:tc>
          <w:tcPr>
            <w:tcW w:w="1984"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 xml:space="preserve">Respiratory </w:t>
            </w: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Cough</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0(0% )</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6(30%)</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8.0</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&lt;0.05*</w:t>
            </w:r>
          </w:p>
        </w:tc>
      </w:tr>
      <w:tr w:rsidR="009A769D" w:rsidRPr="00EF594D" w:rsidTr="00B7524F">
        <w:trPr>
          <w:jc w:val="center"/>
        </w:trPr>
        <w:tc>
          <w:tcPr>
            <w:tcW w:w="1984"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p>
        </w:tc>
        <w:tc>
          <w:tcPr>
            <w:tcW w:w="188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Respiratory distress</w:t>
            </w:r>
          </w:p>
        </w:tc>
        <w:tc>
          <w:tcPr>
            <w:tcW w:w="152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12 (52%)</w:t>
            </w:r>
          </w:p>
        </w:tc>
        <w:tc>
          <w:tcPr>
            <w:tcW w:w="1417"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17(85%)</w:t>
            </w:r>
          </w:p>
        </w:tc>
        <w:tc>
          <w:tcPr>
            <w:tcW w:w="1188"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rPr>
            </w:pPr>
            <w:r w:rsidRPr="00EF594D">
              <w:rPr>
                <w:rFonts w:asciiTheme="majorBidi" w:eastAsiaTheme="minorHAnsi" w:hAnsiTheme="majorBidi" w:cstheme="majorBidi"/>
                <w:color w:val="auto"/>
              </w:rPr>
              <w:t>5.2</w:t>
            </w:r>
          </w:p>
        </w:tc>
        <w:tc>
          <w:tcPr>
            <w:tcW w:w="1348"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rPr>
            </w:pPr>
            <w:r w:rsidRPr="00EF594D">
              <w:rPr>
                <w:rFonts w:asciiTheme="majorBidi" w:eastAsiaTheme="minorHAnsi" w:hAnsiTheme="majorBidi" w:cstheme="majorBidi"/>
                <w:b/>
                <w:bCs/>
                <w:i/>
                <w:iCs/>
                <w:color w:val="auto"/>
              </w:rPr>
              <w:t>&lt;0.05*</w:t>
            </w:r>
          </w:p>
        </w:tc>
      </w:tr>
    </w:tbl>
    <w:p w:rsidR="009A769D" w:rsidRPr="008E4182" w:rsidRDefault="009A769D" w:rsidP="009A769D">
      <w:pPr>
        <w:spacing w:after="87" w:line="259" w:lineRule="auto"/>
        <w:ind w:left="39"/>
        <w:jc w:val="left"/>
        <w:rPr>
          <w:rFonts w:asciiTheme="majorBidi" w:hAnsiTheme="majorBidi" w:cstheme="majorBidi"/>
        </w:rPr>
      </w:pPr>
    </w:p>
    <w:p w:rsidR="009A769D" w:rsidRPr="008E4182" w:rsidRDefault="009A769D" w:rsidP="009A769D">
      <w:pPr>
        <w:spacing w:after="369"/>
        <w:ind w:left="39" w:right="2"/>
        <w:rPr>
          <w:rFonts w:asciiTheme="majorBidi" w:hAnsiTheme="majorBidi" w:cstheme="majorBidi"/>
        </w:rPr>
      </w:pPr>
      <w:r w:rsidRPr="008E4182">
        <w:rPr>
          <w:rFonts w:asciiTheme="majorBidi" w:hAnsiTheme="majorBidi" w:cstheme="majorBidi"/>
        </w:rPr>
        <w:t xml:space="preserve">*: significant (p&lt;0.05). </w:t>
      </w:r>
    </w:p>
    <w:p w:rsidR="009A769D" w:rsidRPr="008E4182" w:rsidRDefault="009A769D" w:rsidP="009A769D">
      <w:pPr>
        <w:spacing w:after="160" w:line="278" w:lineRule="auto"/>
        <w:ind w:left="0" w:firstLine="0"/>
        <w:jc w:val="left"/>
        <w:rPr>
          <w:rFonts w:asciiTheme="majorBidi" w:hAnsiTheme="majorBidi" w:cstheme="majorBidi"/>
        </w:rPr>
      </w:pPr>
      <w:r w:rsidRPr="008E4182">
        <w:rPr>
          <w:rFonts w:asciiTheme="majorBidi" w:hAnsiTheme="majorBidi" w:cstheme="majorBidi"/>
        </w:rPr>
        <w:br w:type="page"/>
      </w:r>
    </w:p>
    <w:p w:rsidR="009A769D" w:rsidRPr="008E4182" w:rsidRDefault="009A769D" w:rsidP="009A769D">
      <w:pPr>
        <w:spacing w:line="259" w:lineRule="auto"/>
        <w:ind w:left="44" w:firstLine="0"/>
        <w:jc w:val="left"/>
        <w:rPr>
          <w:rFonts w:asciiTheme="majorBidi" w:hAnsiTheme="majorBidi" w:cstheme="majorBidi"/>
          <w:b/>
        </w:rPr>
      </w:pPr>
      <w:r w:rsidRPr="008E4182">
        <w:rPr>
          <w:rFonts w:asciiTheme="majorBidi" w:hAnsiTheme="majorBidi" w:cstheme="majorBidi"/>
          <w:b/>
        </w:rPr>
        <w:lastRenderedPageBreak/>
        <w:t>Table 3:  Laboratory Findings at Presentation in Typical and Atypical HUS.</w:t>
      </w:r>
    </w:p>
    <w:tbl>
      <w:tblPr>
        <w:tblStyle w:val="a8"/>
        <w:tblW w:w="0" w:type="auto"/>
        <w:tblLook w:val="04A0" w:firstRow="1" w:lastRow="0" w:firstColumn="1" w:lastColumn="0" w:noHBand="0" w:noVBand="1"/>
      </w:tblPr>
      <w:tblGrid>
        <w:gridCol w:w="1443"/>
        <w:gridCol w:w="1878"/>
        <w:gridCol w:w="1437"/>
        <w:gridCol w:w="1516"/>
        <w:gridCol w:w="970"/>
        <w:gridCol w:w="1139"/>
      </w:tblGrid>
      <w:tr w:rsidR="009A769D" w:rsidRPr="00EF594D" w:rsidTr="00586431">
        <w:tc>
          <w:tcPr>
            <w:tcW w:w="3321" w:type="dxa"/>
            <w:gridSpan w:val="2"/>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bookmarkStart w:id="0" w:name="_Hlk215827267"/>
            <w:bookmarkStart w:id="1" w:name="_Hlk215823597"/>
            <w:r w:rsidRPr="008E4182">
              <w:rPr>
                <w:rFonts w:asciiTheme="majorBidi" w:eastAsiaTheme="minorHAnsi" w:hAnsiTheme="majorBidi" w:cstheme="majorBidi"/>
                <w:color w:val="auto"/>
                <w:sz w:val="22"/>
                <w:szCs w:val="22"/>
              </w:rPr>
              <w:t xml:space="preserve">Investigations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Group A</w:t>
            </w:r>
          </w:p>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N= 23</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Group C</w:t>
            </w:r>
          </w:p>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N= 20</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vertAlign w:val="superscript"/>
              </w:rPr>
            </w:pPr>
            <w:r w:rsidRPr="008E4182">
              <w:rPr>
                <w:rFonts w:asciiTheme="majorBidi" w:eastAsiaTheme="minorHAnsi" w:hAnsiTheme="majorBidi" w:cstheme="majorBidi"/>
                <w:color w:val="auto"/>
                <w:sz w:val="22"/>
                <w:szCs w:val="22"/>
              </w:rPr>
              <w:t>X</w:t>
            </w:r>
            <w:r w:rsidRPr="008E4182">
              <w:rPr>
                <w:rFonts w:asciiTheme="majorBidi" w:eastAsiaTheme="minorHAnsi" w:hAnsiTheme="majorBidi" w:cstheme="majorBidi"/>
                <w:color w:val="auto"/>
                <w:sz w:val="22"/>
                <w:szCs w:val="22"/>
                <w:vertAlign w:val="superscript"/>
              </w:rPr>
              <w:t>2</w:t>
            </w:r>
            <w:r w:rsidRPr="008E4182">
              <w:rPr>
                <w:rFonts w:asciiTheme="majorBidi" w:eastAsiaTheme="minorHAnsi" w:hAnsiTheme="majorBidi" w:cstheme="majorBidi"/>
                <w:color w:val="auto"/>
                <w:sz w:val="22"/>
                <w:szCs w:val="22"/>
              </w:rPr>
              <w:t xml:space="preserve"> /t </w:t>
            </w:r>
            <w:r w:rsidRPr="008E4182">
              <w:rPr>
                <w:rFonts w:asciiTheme="majorBidi" w:eastAsiaTheme="minorHAnsi" w:hAnsiTheme="majorBidi" w:cstheme="majorBidi"/>
                <w:color w:val="auto"/>
                <w:sz w:val="22"/>
                <w:szCs w:val="22"/>
                <w:vertAlign w:val="superscript"/>
              </w:rPr>
              <w:t xml:space="preserve">   </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P</w:t>
            </w:r>
          </w:p>
        </w:tc>
      </w:tr>
      <w:tr w:rsidR="009A769D" w:rsidRPr="00EF594D" w:rsidTr="00586431">
        <w:tc>
          <w:tcPr>
            <w:tcW w:w="1443" w:type="dxa"/>
            <w:vMerge w:val="restart"/>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Hematology  </w:t>
            </w: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hemoglobin (g/dl)</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6.1</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 xml:space="preserve"> 0.9</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5.9+ 0.8</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0.65</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0.516</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A44688" w:rsidP="00586431">
            <w:pPr>
              <w:spacing w:after="0" w:line="240" w:lineRule="auto"/>
              <w:ind w:left="0" w:firstLine="0"/>
              <w:jc w:val="center"/>
              <w:rPr>
                <w:rFonts w:asciiTheme="majorBidi" w:eastAsiaTheme="minorHAnsi" w:hAnsiTheme="majorBidi" w:cstheme="majorBidi"/>
                <w:color w:val="auto"/>
                <w:sz w:val="22"/>
                <w:szCs w:val="22"/>
              </w:rPr>
            </w:pPr>
            <w:r>
              <w:rPr>
                <w:rFonts w:asciiTheme="majorBidi" w:eastAsiaTheme="minorHAnsi" w:hAnsiTheme="majorBidi" w:cstheme="majorBidi"/>
                <w:color w:val="auto"/>
                <w:sz w:val="22"/>
                <w:szCs w:val="22"/>
              </w:rPr>
              <w:t>Leucocyte</w:t>
            </w:r>
            <w:r w:rsidR="009A769D" w:rsidRPr="008E4182">
              <w:rPr>
                <w:rFonts w:asciiTheme="majorBidi" w:eastAsiaTheme="minorHAnsi" w:hAnsiTheme="majorBidi" w:cstheme="majorBidi"/>
                <w:color w:val="auto"/>
                <w:sz w:val="22"/>
                <w:szCs w:val="22"/>
              </w:rPr>
              <w:t xml:space="preserve"> count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15.330</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6.8</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18.350</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4.9</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-1.6</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0.112</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Platelets count</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82.695</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4.623</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72.369</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3.961</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0.916</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0.365</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LDH (unit/l)</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2622.5</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122.3</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3162.2</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213.3</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-0.801</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0.338</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left"/>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platelet remission</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11.3</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 xml:space="preserve">1.8 </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23.5</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2.5</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4.18</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b/>
                <w:bCs/>
                <w:color w:val="auto"/>
                <w:sz w:val="22"/>
                <w:szCs w:val="22"/>
              </w:rPr>
            </w:pPr>
            <w:r w:rsidRPr="008E4182">
              <w:rPr>
                <w:rFonts w:asciiTheme="majorBidi" w:eastAsiaTheme="minorHAnsi" w:hAnsiTheme="majorBidi" w:cstheme="majorBidi"/>
                <w:b/>
                <w:bCs/>
                <w:color w:val="auto"/>
                <w:sz w:val="22"/>
                <w:szCs w:val="22"/>
              </w:rPr>
              <w:t>&lt;0.05*</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HB remission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17.9</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3.6</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30.4</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3.4</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4.27</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b/>
                <w:bCs/>
                <w:color w:val="auto"/>
                <w:sz w:val="22"/>
                <w:szCs w:val="22"/>
              </w:rPr>
            </w:pPr>
            <w:r w:rsidRPr="008E4182">
              <w:rPr>
                <w:rFonts w:asciiTheme="majorBidi" w:eastAsiaTheme="minorHAnsi" w:hAnsiTheme="majorBidi" w:cstheme="majorBidi"/>
                <w:b/>
                <w:bCs/>
                <w:color w:val="auto"/>
                <w:sz w:val="22"/>
                <w:szCs w:val="22"/>
              </w:rPr>
              <w:t>&lt;0.05*</w:t>
            </w:r>
          </w:p>
        </w:tc>
      </w:tr>
      <w:bookmarkEnd w:id="0"/>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A44688" w:rsidP="00586431">
            <w:pPr>
              <w:spacing w:after="0" w:line="240" w:lineRule="auto"/>
              <w:ind w:left="0" w:firstLine="0"/>
              <w:jc w:val="center"/>
              <w:rPr>
                <w:rFonts w:asciiTheme="majorBidi" w:eastAsiaTheme="minorHAnsi" w:hAnsiTheme="majorBidi" w:cstheme="majorBidi"/>
                <w:color w:val="auto"/>
                <w:sz w:val="22"/>
                <w:szCs w:val="22"/>
              </w:rPr>
            </w:pPr>
            <w:r>
              <w:rPr>
                <w:rFonts w:asciiTheme="majorBidi" w:eastAsiaTheme="minorHAnsi" w:hAnsiTheme="majorBidi" w:cstheme="majorBidi"/>
                <w:color w:val="auto"/>
                <w:sz w:val="22"/>
                <w:szCs w:val="22"/>
              </w:rPr>
              <w:t>ESR(mm/</w:t>
            </w:r>
            <w:proofErr w:type="spellStart"/>
            <w:r>
              <w:rPr>
                <w:rFonts w:asciiTheme="majorBidi" w:eastAsiaTheme="minorHAnsi" w:hAnsiTheme="majorBidi" w:cstheme="majorBidi"/>
                <w:color w:val="auto"/>
                <w:sz w:val="22"/>
                <w:szCs w:val="22"/>
              </w:rPr>
              <w:t>Hr</w:t>
            </w:r>
            <w:proofErr w:type="spellEnd"/>
            <w:r w:rsidR="009A769D" w:rsidRPr="008E4182">
              <w:rPr>
                <w:rFonts w:asciiTheme="majorBidi" w:eastAsiaTheme="minorHAnsi" w:hAnsiTheme="majorBidi" w:cstheme="majorBidi"/>
                <w:color w:val="auto"/>
                <w:sz w:val="22"/>
                <w:szCs w:val="22"/>
              </w:rPr>
              <w:t xml:space="preserve">)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57.6</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6.3</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135.3</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12.2</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4.51</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8E4182">
              <w:rPr>
                <w:rFonts w:asciiTheme="majorBidi" w:eastAsiaTheme="minorHAnsi" w:hAnsiTheme="majorBidi" w:cstheme="majorBidi"/>
                <w:b/>
                <w:bCs/>
                <w:i/>
                <w:iCs/>
                <w:color w:val="auto"/>
                <w:sz w:val="22"/>
                <w:szCs w:val="22"/>
              </w:rPr>
              <w:t>&lt;0.001*</w:t>
            </w:r>
          </w:p>
        </w:tc>
      </w:tr>
      <w:tr w:rsidR="009A769D" w:rsidRPr="00EF594D" w:rsidTr="00586431">
        <w:tc>
          <w:tcPr>
            <w:tcW w:w="1443" w:type="dxa"/>
            <w:vMerge w:val="restart"/>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Renal functions &amp;  electrolytes </w:t>
            </w: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serum urea (mg/dl)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166.5</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23.6</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163.4</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35</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0.144</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0.886</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serum creatinine (mg/dl)</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4.3</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0.88</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5.3</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089</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-1.691</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0.098</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Serum sodium (mg/dl ) </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132.5</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7.4</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129.7</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2.5</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3.5</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b/>
                <w:bCs/>
                <w:color w:val="auto"/>
                <w:sz w:val="22"/>
                <w:szCs w:val="22"/>
              </w:rPr>
              <w:t>&lt;0.05*</w:t>
            </w:r>
          </w:p>
        </w:tc>
      </w:tr>
      <w:tr w:rsidR="009A769D" w:rsidRPr="00EF594D" w:rsidTr="00586431">
        <w:tc>
          <w:tcPr>
            <w:tcW w:w="1443" w:type="dxa"/>
            <w:vMerge w:val="restart"/>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 xml:space="preserve">Complement </w:t>
            </w: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C3 (mg/dl)</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85.3</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9.8</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59.2</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5.9</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2.35</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8E4182">
              <w:rPr>
                <w:rFonts w:asciiTheme="majorBidi" w:eastAsiaTheme="minorHAnsi" w:hAnsiTheme="majorBidi" w:cstheme="majorBidi"/>
                <w:b/>
                <w:bCs/>
                <w:i/>
                <w:iCs/>
                <w:color w:val="auto"/>
                <w:sz w:val="22"/>
                <w:szCs w:val="22"/>
              </w:rPr>
              <w:t>&lt;0.05*</w:t>
            </w:r>
          </w:p>
        </w:tc>
      </w:tr>
      <w:tr w:rsidR="009A769D" w:rsidRPr="00EF594D" w:rsidTr="00586431">
        <w:tc>
          <w:tcPr>
            <w:tcW w:w="1443" w:type="dxa"/>
            <w:vMerge/>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878"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C4 (md/dl)</w:t>
            </w:r>
          </w:p>
        </w:tc>
        <w:tc>
          <w:tcPr>
            <w:tcW w:w="1405"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23.7</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2.1</w:t>
            </w:r>
          </w:p>
        </w:tc>
        <w:tc>
          <w:tcPr>
            <w:tcW w:w="1516"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28.6</w:t>
            </w:r>
            <w:r w:rsidRPr="00EF594D">
              <w:rPr>
                <w:rFonts w:asciiTheme="majorBidi" w:eastAsiaTheme="minorHAnsi" w:hAnsiTheme="majorBidi" w:cstheme="majorBidi"/>
                <w:color w:val="auto"/>
                <w:sz w:val="22"/>
                <w:szCs w:val="22"/>
              </w:rPr>
              <w:t>±</w:t>
            </w:r>
            <w:r w:rsidRPr="008E4182">
              <w:rPr>
                <w:rFonts w:asciiTheme="majorBidi" w:eastAsiaTheme="minorHAnsi" w:hAnsiTheme="majorBidi" w:cstheme="majorBidi"/>
                <w:color w:val="auto"/>
                <w:sz w:val="22"/>
                <w:szCs w:val="22"/>
              </w:rPr>
              <w:t>1.6</w:t>
            </w:r>
          </w:p>
        </w:tc>
        <w:tc>
          <w:tcPr>
            <w:tcW w:w="970"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0.925</w:t>
            </w:r>
          </w:p>
        </w:tc>
        <w:tc>
          <w:tcPr>
            <w:tcW w:w="1139" w:type="dxa"/>
          </w:tcPr>
          <w:p w:rsidR="009A769D" w:rsidRPr="008E4182"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8E4182">
              <w:rPr>
                <w:rFonts w:asciiTheme="majorBidi" w:eastAsiaTheme="minorHAnsi" w:hAnsiTheme="majorBidi" w:cstheme="majorBidi"/>
                <w:color w:val="auto"/>
                <w:sz w:val="22"/>
                <w:szCs w:val="22"/>
              </w:rPr>
              <w:t>0.313</w:t>
            </w:r>
          </w:p>
        </w:tc>
      </w:tr>
      <w:tr w:rsidR="009A769D" w:rsidRPr="00EF594D" w:rsidTr="00586431">
        <w:trPr>
          <w:trHeight w:val="470"/>
        </w:trPr>
        <w:tc>
          <w:tcPr>
            <w:tcW w:w="8351" w:type="dxa"/>
            <w:gridSpan w:val="6"/>
          </w:tcPr>
          <w:p w:rsidR="009A769D" w:rsidRPr="00EF594D" w:rsidRDefault="009A769D" w:rsidP="00586431">
            <w:pPr>
              <w:spacing w:after="0" w:line="240" w:lineRule="auto"/>
              <w:ind w:left="0" w:firstLine="0"/>
              <w:jc w:val="left"/>
              <w:rPr>
                <w:rFonts w:asciiTheme="majorBidi" w:eastAsiaTheme="minorHAnsi" w:hAnsiTheme="majorBidi" w:cstheme="majorBidi"/>
                <w:b/>
                <w:bCs/>
                <w:color w:val="auto"/>
                <w:sz w:val="22"/>
                <w:szCs w:val="22"/>
              </w:rPr>
            </w:pPr>
            <w:r w:rsidRPr="008E4182">
              <w:rPr>
                <w:rFonts w:asciiTheme="majorBidi" w:eastAsiaTheme="minorHAnsi" w:hAnsiTheme="majorBidi" w:cstheme="majorBidi"/>
                <w:b/>
                <w:bCs/>
                <w:color w:val="auto"/>
                <w:sz w:val="22"/>
                <w:szCs w:val="22"/>
              </w:rPr>
              <w:t>LDH: lactate dehydrogenase.   HB: hemoglobin  C3: complement factor 3</w:t>
            </w:r>
          </w:p>
          <w:p w:rsidR="009A769D" w:rsidRPr="008E4182" w:rsidRDefault="009A769D" w:rsidP="00586431">
            <w:pPr>
              <w:spacing w:after="0" w:line="240" w:lineRule="auto"/>
              <w:ind w:left="0" w:firstLine="0"/>
              <w:jc w:val="left"/>
              <w:rPr>
                <w:rFonts w:asciiTheme="majorBidi" w:eastAsiaTheme="minorHAnsi" w:hAnsiTheme="majorBidi" w:cstheme="majorBidi"/>
                <w:b/>
                <w:bCs/>
                <w:color w:val="auto"/>
                <w:sz w:val="22"/>
                <w:szCs w:val="22"/>
              </w:rPr>
            </w:pPr>
            <w:r w:rsidRPr="008E4182">
              <w:rPr>
                <w:rFonts w:asciiTheme="majorBidi" w:eastAsiaTheme="minorHAnsi" w:hAnsiTheme="majorBidi" w:cstheme="majorBidi"/>
                <w:b/>
                <w:bCs/>
                <w:color w:val="auto"/>
                <w:sz w:val="22"/>
                <w:szCs w:val="22"/>
              </w:rPr>
              <w:t xml:space="preserve"> C4: complement factor 4</w:t>
            </w:r>
          </w:p>
        </w:tc>
      </w:tr>
    </w:tbl>
    <w:bookmarkEnd w:id="1"/>
    <w:p w:rsidR="009A769D" w:rsidRPr="008E4182" w:rsidRDefault="009A769D" w:rsidP="009A769D">
      <w:pPr>
        <w:spacing w:after="369" w:line="248" w:lineRule="auto"/>
        <w:ind w:left="39" w:right="2"/>
        <w:rPr>
          <w:rFonts w:asciiTheme="majorBidi" w:hAnsiTheme="majorBidi" w:cstheme="majorBidi"/>
        </w:rPr>
      </w:pPr>
      <w:r w:rsidRPr="008E4182">
        <w:rPr>
          <w:rFonts w:asciiTheme="majorBidi" w:hAnsiTheme="majorBidi" w:cstheme="majorBidi"/>
        </w:rPr>
        <w:t xml:space="preserve">*: significant (p&lt;0.05). </w:t>
      </w:r>
    </w:p>
    <w:p w:rsidR="009A769D" w:rsidRPr="008E4182" w:rsidRDefault="009A769D" w:rsidP="009A769D">
      <w:pPr>
        <w:spacing w:after="112" w:line="259" w:lineRule="auto"/>
        <w:ind w:left="39"/>
        <w:jc w:val="left"/>
        <w:rPr>
          <w:rFonts w:asciiTheme="majorBidi" w:eastAsiaTheme="minorHAnsi" w:hAnsiTheme="majorBidi" w:cstheme="majorBidi"/>
          <w:color w:val="auto"/>
          <w:sz w:val="36"/>
          <w:szCs w:val="36"/>
        </w:rPr>
      </w:pPr>
      <w:r w:rsidRPr="008E4182">
        <w:rPr>
          <w:rFonts w:asciiTheme="majorBidi" w:hAnsiTheme="majorBidi" w:cstheme="majorBidi"/>
          <w:b/>
        </w:rPr>
        <w:t xml:space="preserve"> Table 4:   Therapeutic interventions ,Dialysis Requirement, Intensive Care Utilization, and Clinical Outcomes in Typical  HUS (group A)  versus Atypical HUS (group B) </w:t>
      </w:r>
    </w:p>
    <w:tbl>
      <w:tblPr>
        <w:tblStyle w:val="a8"/>
        <w:tblW w:w="0" w:type="auto"/>
        <w:tblLook w:val="04A0" w:firstRow="1" w:lastRow="0" w:firstColumn="1" w:lastColumn="0" w:noHBand="0" w:noVBand="1"/>
      </w:tblPr>
      <w:tblGrid>
        <w:gridCol w:w="1453"/>
        <w:gridCol w:w="2179"/>
        <w:gridCol w:w="1282"/>
        <w:gridCol w:w="1369"/>
        <w:gridCol w:w="966"/>
        <w:gridCol w:w="1102"/>
      </w:tblGrid>
      <w:tr w:rsidR="009A769D" w:rsidRPr="00EF594D" w:rsidTr="00586431">
        <w:tc>
          <w:tcPr>
            <w:tcW w:w="3632" w:type="dxa"/>
            <w:gridSpan w:val="2"/>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bookmarkStart w:id="2" w:name="_Hlk215827663"/>
            <w:r w:rsidRPr="00EF594D">
              <w:rPr>
                <w:rFonts w:asciiTheme="majorBidi" w:eastAsiaTheme="minorHAnsi" w:hAnsiTheme="majorBidi" w:cstheme="majorBidi"/>
                <w:color w:val="auto"/>
                <w:sz w:val="22"/>
                <w:szCs w:val="22"/>
              </w:rPr>
              <w:t xml:space="preserve">Interventions &amp;   outcome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Group A</w:t>
            </w: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N= 23</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Group C</w:t>
            </w: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N= 20</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vertAlign w:val="superscript"/>
              </w:rPr>
            </w:pPr>
            <w:r w:rsidRPr="00EF594D">
              <w:rPr>
                <w:rFonts w:asciiTheme="majorBidi" w:eastAsiaTheme="minorHAnsi" w:hAnsiTheme="majorBidi" w:cstheme="majorBidi"/>
                <w:color w:val="auto"/>
                <w:sz w:val="22"/>
                <w:szCs w:val="22"/>
              </w:rPr>
              <w:t>X</w:t>
            </w:r>
            <w:r w:rsidRPr="00EF594D">
              <w:rPr>
                <w:rFonts w:asciiTheme="majorBidi" w:eastAsiaTheme="minorHAnsi" w:hAnsiTheme="majorBidi" w:cstheme="majorBidi"/>
                <w:color w:val="auto"/>
                <w:sz w:val="22"/>
                <w:szCs w:val="22"/>
                <w:vertAlign w:val="superscript"/>
              </w:rPr>
              <w:t>2</w:t>
            </w:r>
            <w:r w:rsidRPr="00EF594D">
              <w:rPr>
                <w:rFonts w:asciiTheme="majorBidi" w:eastAsiaTheme="minorHAnsi" w:hAnsiTheme="majorBidi" w:cstheme="majorBidi"/>
                <w:color w:val="auto"/>
                <w:sz w:val="22"/>
                <w:szCs w:val="22"/>
              </w:rPr>
              <w:t xml:space="preserve"> /t </w:t>
            </w:r>
            <w:r w:rsidRPr="00EF594D">
              <w:rPr>
                <w:rFonts w:asciiTheme="majorBidi" w:eastAsiaTheme="minorHAnsi" w:hAnsiTheme="majorBidi" w:cstheme="majorBidi"/>
                <w:color w:val="auto"/>
                <w:sz w:val="22"/>
                <w:szCs w:val="22"/>
                <w:vertAlign w:val="superscript"/>
              </w:rPr>
              <w:t xml:space="preserve">   </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P</w:t>
            </w:r>
          </w:p>
        </w:tc>
      </w:tr>
      <w:tr w:rsidR="009A769D" w:rsidRPr="00EF594D" w:rsidTr="00586431">
        <w:tc>
          <w:tcPr>
            <w:tcW w:w="1453"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Medications  </w:t>
            </w: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Antibiotics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12 (52%)</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6(30%)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2.1</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0.142</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A44688" w:rsidP="00586431">
            <w:pPr>
              <w:spacing w:after="0" w:line="240" w:lineRule="auto"/>
              <w:ind w:left="0" w:firstLine="0"/>
              <w:jc w:val="center"/>
              <w:rPr>
                <w:rFonts w:asciiTheme="majorBidi" w:eastAsiaTheme="minorHAnsi" w:hAnsiTheme="majorBidi" w:cstheme="majorBidi"/>
                <w:color w:val="auto"/>
                <w:sz w:val="22"/>
                <w:szCs w:val="22"/>
              </w:rPr>
            </w:pPr>
            <w:r>
              <w:rPr>
                <w:rFonts w:asciiTheme="majorBidi" w:eastAsiaTheme="minorHAnsi" w:hAnsiTheme="majorBidi" w:cstheme="majorBidi"/>
                <w:color w:val="auto"/>
                <w:sz w:val="22"/>
                <w:szCs w:val="22"/>
              </w:rPr>
              <w:t>Anti-</w:t>
            </w:r>
            <w:proofErr w:type="spellStart"/>
            <w:r>
              <w:rPr>
                <w:rFonts w:asciiTheme="majorBidi" w:eastAsiaTheme="minorHAnsi" w:hAnsiTheme="majorBidi" w:cstheme="majorBidi"/>
                <w:color w:val="auto"/>
                <w:sz w:val="22"/>
                <w:szCs w:val="22"/>
              </w:rPr>
              <w:t>convulsants</w:t>
            </w:r>
            <w:proofErr w:type="spellEnd"/>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8(34.7%)</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7(35%)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-2.2</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0.988</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Anti-hypertensive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15(65%)</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19(95%)</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5.7</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Immunosuppressive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 (0%)</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6(30%)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8.0</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&lt;0.01*</w:t>
            </w:r>
          </w:p>
        </w:tc>
      </w:tr>
      <w:tr w:rsidR="009A769D" w:rsidRPr="00EF594D" w:rsidTr="00586431">
        <w:tc>
          <w:tcPr>
            <w:tcW w:w="1453"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Dialysis  </w:t>
            </w: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Hemodialysis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6 (26%)</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13 (65%) </w:t>
            </w:r>
          </w:p>
        </w:tc>
        <w:tc>
          <w:tcPr>
            <w:tcW w:w="966"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3.6</w:t>
            </w:r>
          </w:p>
        </w:tc>
        <w:tc>
          <w:tcPr>
            <w:tcW w:w="1102"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0.122</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Peritoneal dialysis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4 (17%)</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0 (0%) </w:t>
            </w:r>
          </w:p>
        </w:tc>
        <w:tc>
          <w:tcPr>
            <w:tcW w:w="966"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102" w:type="dxa"/>
            <w:vMerge/>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Total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10 (43%)</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13 (65%) </w:t>
            </w:r>
          </w:p>
        </w:tc>
        <w:tc>
          <w:tcPr>
            <w:tcW w:w="966"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1102" w:type="dxa"/>
            <w:vMerge/>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Duration ( days )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6.0±1.3</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10.4+1.6</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4.63</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rPr>
          <w:trHeight w:val="311"/>
        </w:trPr>
        <w:tc>
          <w:tcPr>
            <w:tcW w:w="1453" w:type="dxa"/>
            <w:vMerge w:val="restart"/>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PICU   data</w:t>
            </w: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C67967">
              <w:rPr>
                <w:rFonts w:asciiTheme="majorBidi" w:eastAsiaTheme="minorHAnsi" w:hAnsiTheme="majorBidi" w:cstheme="majorBidi"/>
                <w:noProof/>
                <w:color w:val="auto"/>
                <w:sz w:val="22"/>
                <w:szCs w:val="22"/>
              </w:rPr>
              <mc:AlternateContent>
                <mc:Choice Requires="wps">
                  <w:drawing>
                    <wp:anchor distT="0" distB="0" distL="114300" distR="114300" simplePos="0" relativeHeight="251659264" behindDoc="0" locked="0" layoutInCell="1" allowOverlap="1" wp14:anchorId="3245DB3A" wp14:editId="3CF81E2E">
                      <wp:simplePos x="0" y="0"/>
                      <wp:positionH relativeFrom="column">
                        <wp:posOffset>-67310</wp:posOffset>
                      </wp:positionH>
                      <wp:positionV relativeFrom="paragraph">
                        <wp:posOffset>34925</wp:posOffset>
                      </wp:positionV>
                      <wp:extent cx="902970" cy="0"/>
                      <wp:effectExtent l="0" t="0" r="11430" b="19050"/>
                      <wp:wrapNone/>
                      <wp:docPr id="1" name="رابط مستقيم 1"/>
                      <wp:cNvGraphicFramePr/>
                      <a:graphic xmlns:a="http://schemas.openxmlformats.org/drawingml/2006/main">
                        <a:graphicData uri="http://schemas.microsoft.com/office/word/2010/wordprocessingShape">
                          <wps:wsp>
                            <wps:cNvCnPr/>
                            <wps:spPr>
                              <a:xfrm flipH="1">
                                <a:off x="0" y="0"/>
                                <a:ext cx="902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رابط مستقيم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2.75pt" to="65.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" strokecolor="black [3213]"/>
                  </w:pict>
                </mc:Fallback>
              </mc:AlternateContent>
            </w: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   </w:t>
            </w:r>
          </w:p>
          <w:p w:rsidR="009A769D" w:rsidRPr="00EF594D" w:rsidRDefault="009A769D" w:rsidP="00586431">
            <w:pPr>
              <w:spacing w:after="0" w:line="240" w:lineRule="auto"/>
              <w:ind w:left="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Out come</w:t>
            </w: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Admissions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10 (43%)</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16 (80%)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5.96</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c>
          <w:tcPr>
            <w:tcW w:w="1453" w:type="dxa"/>
            <w:vMerge/>
            <w:tcBorders>
              <w:bottom w:val="single" w:sz="4" w:space="0" w:color="auto"/>
            </w:tcBorders>
          </w:tcPr>
          <w:p w:rsidR="009A769D" w:rsidRPr="00EF594D" w:rsidRDefault="009A769D" w:rsidP="00586431">
            <w:pPr>
              <w:spacing w:after="0" w:line="240" w:lineRule="auto"/>
              <w:ind w:left="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Need for MV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4 (17%)</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4 (20%)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0.048</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0.826</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Total hospital admission duration (days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16.1±2.3</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30.4±5.3</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5.12</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b/>
                <w:bCs/>
                <w:i/>
                <w:iCs/>
                <w:color w:val="auto"/>
                <w:sz w:val="22"/>
                <w:szCs w:val="22"/>
              </w:rPr>
              <w:t>&lt;0.01*</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Complete recovery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14(61%)</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6 (30%)</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3.80</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Proteinuria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7 (30 %)</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15 (75%)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8.50</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b/>
                <w:bCs/>
                <w:i/>
                <w:iCs/>
                <w:color w:val="auto"/>
                <w:sz w:val="22"/>
                <w:szCs w:val="22"/>
              </w:rPr>
              <w:t>&lt;0.01*</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Hypertension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15 (65%)</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18 (90%)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3.6</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rPr>
          <w:trHeight w:val="87"/>
        </w:trPr>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CKD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5 (21%)</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11(55%)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5.01</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c>
          <w:tcPr>
            <w:tcW w:w="1453" w:type="dxa"/>
            <w:vMerge/>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p>
        </w:tc>
        <w:tc>
          <w:tcPr>
            <w:tcW w:w="217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Mortality  </w:t>
            </w:r>
          </w:p>
        </w:tc>
        <w:tc>
          <w:tcPr>
            <w:tcW w:w="1282"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4 (17.3%) </w:t>
            </w:r>
          </w:p>
        </w:tc>
        <w:tc>
          <w:tcPr>
            <w:tcW w:w="1369"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 xml:space="preserve">1 (5%) </w:t>
            </w:r>
          </w:p>
        </w:tc>
        <w:tc>
          <w:tcPr>
            <w:tcW w:w="966" w:type="dxa"/>
          </w:tcPr>
          <w:p w:rsidR="009A769D" w:rsidRPr="00EF594D" w:rsidRDefault="009A769D" w:rsidP="00586431">
            <w:pPr>
              <w:spacing w:after="0" w:line="240" w:lineRule="auto"/>
              <w:ind w:left="0" w:firstLine="0"/>
              <w:jc w:val="center"/>
              <w:rPr>
                <w:rFonts w:asciiTheme="majorBidi" w:eastAsiaTheme="minorHAnsi" w:hAnsiTheme="majorBidi" w:cstheme="majorBidi"/>
                <w:color w:val="auto"/>
                <w:sz w:val="22"/>
                <w:szCs w:val="22"/>
              </w:rPr>
            </w:pPr>
            <w:r w:rsidRPr="00EF594D">
              <w:rPr>
                <w:rFonts w:asciiTheme="majorBidi" w:eastAsiaTheme="minorHAnsi" w:hAnsiTheme="majorBidi" w:cstheme="majorBidi"/>
                <w:color w:val="auto"/>
                <w:sz w:val="22"/>
                <w:szCs w:val="22"/>
              </w:rPr>
              <w:t>3.88</w:t>
            </w:r>
          </w:p>
        </w:tc>
        <w:tc>
          <w:tcPr>
            <w:tcW w:w="1102" w:type="dxa"/>
          </w:tcPr>
          <w:p w:rsidR="009A769D" w:rsidRPr="00EF594D" w:rsidRDefault="009A769D" w:rsidP="00586431">
            <w:pPr>
              <w:spacing w:after="0" w:line="240" w:lineRule="auto"/>
              <w:ind w:left="0" w:firstLine="0"/>
              <w:jc w:val="center"/>
              <w:rPr>
                <w:rFonts w:asciiTheme="majorBidi" w:eastAsiaTheme="minorHAnsi" w:hAnsiTheme="majorBidi" w:cstheme="majorBidi"/>
                <w:b/>
                <w:bCs/>
                <w:i/>
                <w:iCs/>
                <w:color w:val="auto"/>
                <w:sz w:val="22"/>
                <w:szCs w:val="22"/>
              </w:rPr>
            </w:pPr>
            <w:r w:rsidRPr="00EF594D">
              <w:rPr>
                <w:rFonts w:asciiTheme="majorBidi" w:eastAsiaTheme="minorHAnsi" w:hAnsiTheme="majorBidi" w:cstheme="majorBidi"/>
                <w:b/>
                <w:bCs/>
                <w:i/>
                <w:iCs/>
                <w:color w:val="auto"/>
                <w:sz w:val="22"/>
                <w:szCs w:val="22"/>
              </w:rPr>
              <w:t>&lt;0.05*</w:t>
            </w:r>
          </w:p>
        </w:tc>
      </w:tr>
      <w:tr w:rsidR="009A769D" w:rsidRPr="00EF594D" w:rsidTr="00586431">
        <w:trPr>
          <w:trHeight w:val="491"/>
        </w:trPr>
        <w:tc>
          <w:tcPr>
            <w:tcW w:w="8351" w:type="dxa"/>
            <w:gridSpan w:val="6"/>
          </w:tcPr>
          <w:p w:rsidR="009A769D" w:rsidRPr="00EF594D" w:rsidRDefault="009A769D" w:rsidP="00586431">
            <w:pPr>
              <w:spacing w:after="0" w:line="240" w:lineRule="auto"/>
              <w:ind w:left="0" w:firstLine="0"/>
              <w:jc w:val="left"/>
              <w:rPr>
                <w:rFonts w:asciiTheme="majorBidi" w:eastAsiaTheme="minorHAnsi" w:hAnsiTheme="majorBidi" w:cstheme="majorBidi"/>
                <w:b/>
                <w:bCs/>
                <w:color w:val="auto"/>
                <w:sz w:val="22"/>
                <w:szCs w:val="22"/>
              </w:rPr>
            </w:pPr>
            <w:r w:rsidRPr="00EF594D">
              <w:rPr>
                <w:rFonts w:asciiTheme="majorBidi" w:eastAsiaTheme="minorHAnsi" w:hAnsiTheme="majorBidi" w:cstheme="majorBidi"/>
                <w:b/>
                <w:bCs/>
                <w:color w:val="auto"/>
                <w:sz w:val="22"/>
                <w:szCs w:val="22"/>
              </w:rPr>
              <w:t>PICU: pediatric intensive care unit    MV: mechanical ventilation</w:t>
            </w:r>
          </w:p>
          <w:p w:rsidR="009A769D" w:rsidRPr="008E4182" w:rsidRDefault="009A769D" w:rsidP="00586431">
            <w:pPr>
              <w:spacing w:after="0" w:line="240" w:lineRule="auto"/>
              <w:ind w:left="0" w:firstLine="0"/>
              <w:jc w:val="left"/>
              <w:rPr>
                <w:rFonts w:asciiTheme="majorBidi" w:eastAsiaTheme="minorHAnsi" w:hAnsiTheme="majorBidi" w:cstheme="majorBidi"/>
                <w:b/>
                <w:bCs/>
                <w:color w:val="auto"/>
                <w:sz w:val="22"/>
                <w:szCs w:val="22"/>
              </w:rPr>
            </w:pPr>
            <w:r w:rsidRPr="00EF594D">
              <w:rPr>
                <w:rFonts w:asciiTheme="majorBidi" w:eastAsiaTheme="minorHAnsi" w:hAnsiTheme="majorBidi" w:cstheme="majorBidi"/>
                <w:b/>
                <w:bCs/>
                <w:color w:val="auto"/>
                <w:sz w:val="22"/>
                <w:szCs w:val="22"/>
              </w:rPr>
              <w:t>CKD: chronic kidney disease</w:t>
            </w:r>
          </w:p>
        </w:tc>
      </w:tr>
    </w:tbl>
    <w:bookmarkEnd w:id="2"/>
    <w:p w:rsidR="009A769D" w:rsidRPr="008E4182" w:rsidRDefault="009A769D" w:rsidP="009A769D">
      <w:pPr>
        <w:spacing w:after="369"/>
        <w:ind w:left="0" w:right="2" w:firstLine="0"/>
        <w:rPr>
          <w:rFonts w:asciiTheme="majorBidi" w:hAnsiTheme="majorBidi" w:cstheme="majorBidi"/>
        </w:rPr>
      </w:pPr>
      <w:r w:rsidRPr="008E4182">
        <w:rPr>
          <w:rFonts w:asciiTheme="majorBidi" w:hAnsiTheme="majorBidi" w:cstheme="majorBidi"/>
        </w:rPr>
        <w:t>*: significant (p&lt;0.05)</w:t>
      </w:r>
    </w:p>
    <w:p w:rsidR="009A769D" w:rsidRPr="008E4182" w:rsidRDefault="009A769D" w:rsidP="009A769D">
      <w:pPr>
        <w:spacing w:after="0" w:line="259" w:lineRule="auto"/>
        <w:ind w:left="0" w:firstLine="0"/>
        <w:jc w:val="left"/>
        <w:rPr>
          <w:rFonts w:asciiTheme="majorBidi" w:hAnsiTheme="majorBidi" w:cstheme="majorBidi"/>
        </w:rPr>
      </w:pPr>
      <w:r w:rsidRPr="008E4182">
        <w:rPr>
          <w:rFonts w:asciiTheme="majorBidi" w:hAnsiTheme="majorBidi" w:cstheme="majorBidi"/>
          <w:b/>
        </w:rPr>
        <w:tab/>
        <w:t xml:space="preserve"> </w:t>
      </w:r>
    </w:p>
    <w:p w:rsidR="009A769D" w:rsidRPr="008E4182" w:rsidRDefault="009A769D" w:rsidP="009A769D">
      <w:pPr>
        <w:spacing w:after="112" w:line="259" w:lineRule="auto"/>
        <w:ind w:left="39"/>
        <w:jc w:val="left"/>
        <w:rPr>
          <w:rFonts w:asciiTheme="majorBidi" w:hAnsiTheme="majorBidi" w:cstheme="majorBidi"/>
        </w:rPr>
      </w:pPr>
      <w:r w:rsidRPr="008E4182">
        <w:rPr>
          <w:rFonts w:asciiTheme="majorBidi" w:hAnsiTheme="majorBidi" w:cstheme="majorBidi"/>
          <w:b/>
        </w:rPr>
        <w:lastRenderedPageBreak/>
        <w:t xml:space="preserve">Table 5 : Predictors of Chronic Kidney Disease Versus Complete Recovery in </w:t>
      </w: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t xml:space="preserve">Children With HUS </w:t>
      </w:r>
    </w:p>
    <w:tbl>
      <w:tblPr>
        <w:tblStyle w:val="TableGrid"/>
        <w:tblW w:w="8534"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7" w:type="dxa"/>
          <w:left w:w="106" w:type="dxa"/>
          <w:right w:w="53" w:type="dxa"/>
        </w:tblCellMar>
        <w:tblLook w:val="04A0" w:firstRow="1" w:lastRow="0" w:firstColumn="1" w:lastColumn="0" w:noHBand="0" w:noVBand="1"/>
      </w:tblPr>
      <w:tblGrid>
        <w:gridCol w:w="1643"/>
        <w:gridCol w:w="2132"/>
        <w:gridCol w:w="1349"/>
        <w:gridCol w:w="1489"/>
        <w:gridCol w:w="884"/>
        <w:gridCol w:w="1037"/>
      </w:tblGrid>
      <w:tr w:rsidR="009A769D" w:rsidRPr="00EF594D" w:rsidTr="00586431">
        <w:trPr>
          <w:trHeight w:val="605"/>
        </w:trPr>
        <w:tc>
          <w:tcPr>
            <w:tcW w:w="1643"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 </w:t>
            </w: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Item  </w:t>
            </w:r>
          </w:p>
        </w:tc>
        <w:tc>
          <w:tcPr>
            <w:tcW w:w="1349" w:type="dxa"/>
          </w:tcPr>
          <w:p w:rsidR="009A769D" w:rsidRPr="008E4182" w:rsidRDefault="009A769D" w:rsidP="00586431">
            <w:pPr>
              <w:spacing w:after="16" w:line="259" w:lineRule="auto"/>
              <w:ind w:left="0" w:firstLine="0"/>
              <w:jc w:val="left"/>
              <w:rPr>
                <w:rFonts w:asciiTheme="majorBidi" w:hAnsiTheme="majorBidi" w:cstheme="majorBidi"/>
              </w:rPr>
            </w:pPr>
            <w:r w:rsidRPr="008E4182">
              <w:rPr>
                <w:rFonts w:asciiTheme="majorBidi" w:hAnsiTheme="majorBidi" w:cstheme="majorBidi"/>
              </w:rPr>
              <w:t xml:space="preserve">CKD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N= 16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Recovery  N= 20</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X</w:t>
            </w:r>
            <w:r w:rsidRPr="008E4182">
              <w:rPr>
                <w:rFonts w:asciiTheme="majorBidi" w:hAnsiTheme="majorBidi" w:cstheme="majorBidi"/>
                <w:sz w:val="16"/>
              </w:rPr>
              <w:t>2</w:t>
            </w:r>
            <w:r w:rsidRPr="008E4182">
              <w:rPr>
                <w:rFonts w:asciiTheme="majorBidi" w:hAnsiTheme="majorBidi" w:cstheme="majorBidi"/>
              </w:rPr>
              <w:t xml:space="preserve"> /t </w:t>
            </w:r>
            <w:r w:rsidRPr="008E4182">
              <w:rPr>
                <w:rFonts w:asciiTheme="majorBidi" w:hAnsiTheme="majorBidi" w:cstheme="majorBidi"/>
                <w:sz w:val="16"/>
              </w:rPr>
              <w:t xml:space="preserve">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P </w:t>
            </w:r>
          </w:p>
        </w:tc>
      </w:tr>
      <w:tr w:rsidR="009A769D" w:rsidRPr="00EF594D" w:rsidTr="00586431">
        <w:trPr>
          <w:trHeight w:val="283"/>
        </w:trPr>
        <w:tc>
          <w:tcPr>
            <w:tcW w:w="1643" w:type="dxa"/>
            <w:vMerge w:val="restart"/>
          </w:tcPr>
          <w:p w:rsidR="009A769D" w:rsidRPr="008E4182" w:rsidRDefault="009A769D" w:rsidP="00586431">
            <w:pPr>
              <w:spacing w:after="0" w:line="259" w:lineRule="auto"/>
              <w:ind w:left="5" w:firstLine="0"/>
              <w:rPr>
                <w:rFonts w:asciiTheme="majorBidi" w:hAnsiTheme="majorBidi" w:cstheme="majorBidi"/>
              </w:rPr>
            </w:pPr>
            <w:r w:rsidRPr="008E4182">
              <w:rPr>
                <w:rFonts w:asciiTheme="majorBidi" w:hAnsiTheme="majorBidi" w:cstheme="majorBidi"/>
              </w:rPr>
              <w:t xml:space="preserve">Demographics </w:t>
            </w: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Age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5.6</w:t>
            </w:r>
            <w:r w:rsidRPr="00EF594D">
              <w:rPr>
                <w:rFonts w:asciiTheme="majorBidi" w:hAnsiTheme="majorBidi" w:cstheme="majorBidi"/>
              </w:rPr>
              <w:t>±</w:t>
            </w:r>
            <w:r w:rsidRPr="008E4182">
              <w:rPr>
                <w:rFonts w:asciiTheme="majorBidi" w:hAnsiTheme="majorBidi" w:cstheme="majorBidi"/>
              </w:rPr>
              <w:t xml:space="preserve">1.3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3.5</w:t>
            </w:r>
            <w:r w:rsidRPr="00EF594D">
              <w:rPr>
                <w:rFonts w:asciiTheme="majorBidi" w:hAnsiTheme="majorBidi" w:cstheme="majorBidi"/>
              </w:rPr>
              <w:t>±</w:t>
            </w:r>
            <w:r w:rsidRPr="008E4182">
              <w:rPr>
                <w:rFonts w:asciiTheme="majorBidi" w:hAnsiTheme="majorBidi" w:cstheme="majorBidi"/>
              </w:rPr>
              <w:t>1.1</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1.8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0.078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Male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11 (69%)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18 (90%)</w:t>
            </w:r>
            <w:r w:rsidRPr="008E4182">
              <w:rPr>
                <w:rFonts w:asciiTheme="majorBidi" w:hAnsiTheme="majorBidi" w:cstheme="majorBidi"/>
                <w:color w:val="EE0000"/>
              </w:rPr>
              <w:t xml:space="preserve"> </w:t>
            </w:r>
          </w:p>
        </w:tc>
        <w:tc>
          <w:tcPr>
            <w:tcW w:w="884" w:type="dxa"/>
            <w:vMerge w:val="restart"/>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0.12 </w:t>
            </w:r>
          </w:p>
        </w:tc>
        <w:tc>
          <w:tcPr>
            <w:tcW w:w="1037"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0.091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Female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5 (31%)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9 (45%)</w:t>
            </w:r>
            <w:r w:rsidRPr="008E4182">
              <w:rPr>
                <w:rFonts w:asciiTheme="majorBidi" w:hAnsiTheme="majorBidi" w:cstheme="majorBidi"/>
                <w:color w:val="EE0000"/>
              </w:rPr>
              <w:t xml:space="preserve"> </w:t>
            </w: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288"/>
        </w:trPr>
        <w:tc>
          <w:tcPr>
            <w:tcW w:w="1643"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HUS type </w:t>
            </w: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Group A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5 (31%)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18(90%)</w:t>
            </w:r>
            <w:r w:rsidRPr="008E4182">
              <w:rPr>
                <w:rFonts w:asciiTheme="majorBidi" w:hAnsiTheme="majorBidi" w:cstheme="majorBidi"/>
                <w:color w:val="EE0000"/>
              </w:rPr>
              <w:t xml:space="preserve"> </w:t>
            </w:r>
          </w:p>
        </w:tc>
        <w:tc>
          <w:tcPr>
            <w:tcW w:w="884" w:type="dxa"/>
            <w:vMerge w:val="restart"/>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5.06 </w:t>
            </w:r>
          </w:p>
        </w:tc>
        <w:tc>
          <w:tcPr>
            <w:tcW w:w="1037"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Group C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11 (69%)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9 (45%)</w:t>
            </w:r>
            <w:r w:rsidRPr="008E4182">
              <w:rPr>
                <w:rFonts w:asciiTheme="majorBidi" w:hAnsiTheme="majorBidi" w:cstheme="majorBidi"/>
                <w:color w:val="EE0000"/>
              </w:rPr>
              <w:t xml:space="preserve"> </w:t>
            </w: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283"/>
        </w:trPr>
        <w:tc>
          <w:tcPr>
            <w:tcW w:w="1643"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Clinical presentations </w:t>
            </w: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Convulsions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8 (50%)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4 (20%)</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3.5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Hypertension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16 (100%)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13(65%)</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4.1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Edema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16 (100%)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15(75%)</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9.81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Oliguria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 (12%)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16(80%)</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9.02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4"/>
        </w:trPr>
        <w:tc>
          <w:tcPr>
            <w:tcW w:w="1643"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Laboratory findings </w:t>
            </w: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Hemoglobin (g/dl)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5.8</w:t>
            </w:r>
            <w:r w:rsidRPr="00EF594D">
              <w:rPr>
                <w:rFonts w:asciiTheme="majorBidi" w:hAnsiTheme="majorBidi" w:cstheme="majorBidi"/>
              </w:rPr>
              <w:t>±</w:t>
            </w:r>
            <w:r w:rsidRPr="008E4182">
              <w:rPr>
                <w:rFonts w:asciiTheme="majorBidi" w:hAnsiTheme="majorBidi" w:cstheme="majorBidi"/>
              </w:rPr>
              <w:t xml:space="preserve">0.76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6.3</w:t>
            </w:r>
            <w:r w:rsidRPr="00EF594D">
              <w:rPr>
                <w:rFonts w:asciiTheme="majorBidi" w:hAnsiTheme="majorBidi" w:cstheme="majorBidi"/>
              </w:rPr>
              <w:t>±</w:t>
            </w:r>
            <w:r w:rsidRPr="008E4182">
              <w:rPr>
                <w:rFonts w:asciiTheme="majorBidi" w:hAnsiTheme="majorBidi" w:cstheme="majorBidi"/>
              </w:rPr>
              <w:t>1.1</w:t>
            </w:r>
            <w:r w:rsidRPr="008E4182">
              <w:rPr>
                <w:rFonts w:asciiTheme="majorBidi" w:hAnsiTheme="majorBidi" w:cstheme="majorBidi"/>
                <w:color w:val="EE0000"/>
              </w:rPr>
              <w:t xml:space="preserve">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1.41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0.154 </w:t>
            </w:r>
          </w:p>
        </w:tc>
      </w:tr>
      <w:tr w:rsidR="009A769D" w:rsidRPr="00EF594D" w:rsidTr="00586431">
        <w:trPr>
          <w:trHeight w:val="566"/>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A44688" w:rsidP="00586431">
            <w:pPr>
              <w:spacing w:after="0" w:line="259" w:lineRule="auto"/>
              <w:ind w:left="0" w:firstLine="0"/>
              <w:jc w:val="left"/>
              <w:rPr>
                <w:rFonts w:asciiTheme="majorBidi" w:hAnsiTheme="majorBidi" w:cstheme="majorBidi"/>
              </w:rPr>
            </w:pPr>
            <w:r>
              <w:rPr>
                <w:rFonts w:asciiTheme="majorBidi" w:hAnsiTheme="majorBidi" w:cstheme="majorBidi"/>
              </w:rPr>
              <w:t>Leucocyte</w:t>
            </w:r>
            <w:r w:rsidR="009A769D" w:rsidRPr="008E4182">
              <w:rPr>
                <w:rFonts w:asciiTheme="majorBidi" w:hAnsiTheme="majorBidi" w:cstheme="majorBidi"/>
              </w:rPr>
              <w:t xml:space="preserve"> count </w:t>
            </w:r>
          </w:p>
        </w:tc>
        <w:tc>
          <w:tcPr>
            <w:tcW w:w="1349" w:type="dxa"/>
          </w:tcPr>
          <w:p w:rsidR="009A769D" w:rsidRPr="008E4182" w:rsidRDefault="009A769D" w:rsidP="00586431">
            <w:pPr>
              <w:spacing w:after="16" w:line="259" w:lineRule="auto"/>
              <w:ind w:left="0" w:firstLine="0"/>
              <w:jc w:val="left"/>
              <w:rPr>
                <w:rFonts w:asciiTheme="majorBidi" w:hAnsiTheme="majorBidi" w:cstheme="majorBidi"/>
              </w:rPr>
            </w:pPr>
            <w:r w:rsidRPr="008E4182">
              <w:rPr>
                <w:rFonts w:asciiTheme="majorBidi" w:hAnsiTheme="majorBidi" w:cstheme="majorBidi"/>
              </w:rPr>
              <w:t>19119</w:t>
            </w:r>
            <w:r w:rsidRPr="00EF594D">
              <w:rPr>
                <w:rFonts w:asciiTheme="majorBidi" w:hAnsiTheme="majorBidi" w:cstheme="majorBidi"/>
              </w:rPr>
              <w:t>±</w:t>
            </w:r>
            <w:r w:rsidRPr="008E4182">
              <w:rPr>
                <w:rFonts w:asciiTheme="majorBidi" w:hAnsiTheme="majorBidi" w:cstheme="majorBidi"/>
              </w:rPr>
              <w:t xml:space="preserve">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2.100 </w:t>
            </w:r>
          </w:p>
        </w:tc>
        <w:tc>
          <w:tcPr>
            <w:tcW w:w="1489" w:type="dxa"/>
          </w:tcPr>
          <w:p w:rsidR="009A769D" w:rsidRPr="008E4182" w:rsidRDefault="009A769D" w:rsidP="00586431">
            <w:pPr>
              <w:spacing w:after="0" w:line="259" w:lineRule="auto"/>
              <w:ind w:left="0" w:firstLine="0"/>
              <w:rPr>
                <w:rFonts w:asciiTheme="majorBidi" w:hAnsiTheme="majorBidi" w:cstheme="majorBidi"/>
              </w:rPr>
            </w:pPr>
            <w:r w:rsidRPr="008E4182">
              <w:rPr>
                <w:rFonts w:asciiTheme="majorBidi" w:hAnsiTheme="majorBidi" w:cstheme="majorBidi"/>
              </w:rPr>
              <w:t>15366</w:t>
            </w:r>
            <w:r w:rsidRPr="00EF594D">
              <w:rPr>
                <w:rFonts w:asciiTheme="majorBidi" w:hAnsiTheme="majorBidi" w:cstheme="majorBidi"/>
              </w:rPr>
              <w:t>±</w:t>
            </w:r>
            <w:r w:rsidRPr="008E4182">
              <w:rPr>
                <w:rFonts w:asciiTheme="majorBidi" w:hAnsiTheme="majorBidi" w:cstheme="majorBidi"/>
              </w:rPr>
              <w:t xml:space="preserve">1200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2.00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0.051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Platelets count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76.7</w:t>
            </w:r>
            <w:r w:rsidRPr="00EF594D">
              <w:rPr>
                <w:rFonts w:asciiTheme="majorBidi" w:hAnsiTheme="majorBidi" w:cstheme="majorBidi"/>
              </w:rPr>
              <w:t>±</w:t>
            </w:r>
            <w:r w:rsidRPr="008E4182">
              <w:rPr>
                <w:rFonts w:asciiTheme="majorBidi" w:hAnsiTheme="majorBidi" w:cstheme="majorBidi"/>
              </w:rPr>
              <w:t xml:space="preserve">13.2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88.3</w:t>
            </w:r>
            <w:r w:rsidRPr="00EF594D">
              <w:rPr>
                <w:rFonts w:asciiTheme="majorBidi" w:hAnsiTheme="majorBidi" w:cstheme="majorBidi"/>
              </w:rPr>
              <w:t>±</w:t>
            </w:r>
            <w:r w:rsidRPr="008E4182">
              <w:rPr>
                <w:rFonts w:asciiTheme="majorBidi" w:hAnsiTheme="majorBidi" w:cstheme="majorBidi"/>
              </w:rPr>
              <w:t xml:space="preserve">15.6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0.159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creatinine (mg/dl)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5.8</w:t>
            </w:r>
            <w:r w:rsidRPr="00EF594D">
              <w:rPr>
                <w:rFonts w:asciiTheme="majorBidi" w:hAnsiTheme="majorBidi" w:cstheme="majorBidi"/>
              </w:rPr>
              <w:t>±</w:t>
            </w:r>
            <w:r w:rsidRPr="008E4182">
              <w:rPr>
                <w:rFonts w:asciiTheme="majorBidi" w:hAnsiTheme="majorBidi" w:cstheme="majorBidi"/>
              </w:rPr>
              <w:t xml:space="preserve">1.1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4.2</w:t>
            </w:r>
            <w:r w:rsidRPr="00EF594D">
              <w:rPr>
                <w:rFonts w:asciiTheme="majorBidi" w:hAnsiTheme="majorBidi" w:cstheme="majorBidi"/>
              </w:rPr>
              <w:t>±</w:t>
            </w:r>
            <w:r w:rsidRPr="008E4182">
              <w:rPr>
                <w:rFonts w:asciiTheme="majorBidi" w:hAnsiTheme="majorBidi" w:cstheme="majorBidi"/>
              </w:rPr>
              <w:t xml:space="preserve">0.9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3.01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24" w:line="259" w:lineRule="auto"/>
              <w:ind w:left="0" w:firstLine="0"/>
              <w:jc w:val="left"/>
              <w:rPr>
                <w:rFonts w:asciiTheme="majorBidi" w:hAnsiTheme="majorBidi" w:cstheme="majorBidi"/>
              </w:rPr>
            </w:pPr>
            <w:r w:rsidRPr="008E4182">
              <w:rPr>
                <w:rFonts w:asciiTheme="majorBidi" w:hAnsiTheme="majorBidi" w:cstheme="majorBidi"/>
              </w:rPr>
              <w:t xml:space="preserve">GFR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(ml/min/1.37m2)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11.75</w:t>
            </w:r>
            <w:r w:rsidRPr="00EF594D">
              <w:rPr>
                <w:rFonts w:asciiTheme="majorBidi" w:hAnsiTheme="majorBidi" w:cstheme="majorBidi"/>
              </w:rPr>
              <w:t>±</w:t>
            </w:r>
            <w:r w:rsidRPr="008E4182">
              <w:rPr>
                <w:rFonts w:asciiTheme="majorBidi" w:hAnsiTheme="majorBidi" w:cstheme="majorBidi"/>
              </w:rPr>
              <w:t xml:space="preserve">1.4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19.6</w:t>
            </w:r>
            <w:r w:rsidRPr="00EF594D">
              <w:rPr>
                <w:rFonts w:asciiTheme="majorBidi" w:hAnsiTheme="majorBidi" w:cstheme="majorBidi"/>
              </w:rPr>
              <w:t>±</w:t>
            </w:r>
            <w:r w:rsidRPr="008E4182">
              <w:rPr>
                <w:rFonts w:asciiTheme="majorBidi" w:hAnsiTheme="majorBidi" w:cstheme="majorBidi"/>
              </w:rPr>
              <w:t xml:space="preserve">9.1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3.4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Serum urea (mg/dl)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183.6</w:t>
            </w:r>
            <w:r w:rsidRPr="00EF594D">
              <w:rPr>
                <w:rFonts w:asciiTheme="majorBidi" w:hAnsiTheme="majorBidi" w:cstheme="majorBidi"/>
              </w:rPr>
              <w:t>±</w:t>
            </w:r>
            <w:r w:rsidRPr="008E4182">
              <w:rPr>
                <w:rFonts w:asciiTheme="majorBidi" w:hAnsiTheme="majorBidi" w:cstheme="majorBidi"/>
              </w:rPr>
              <w:t xml:space="preserve">40.1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154.1</w:t>
            </w:r>
            <w:r w:rsidRPr="00EF594D">
              <w:rPr>
                <w:rFonts w:asciiTheme="majorBidi" w:hAnsiTheme="majorBidi" w:cstheme="majorBidi"/>
              </w:rPr>
              <w:t>±</w:t>
            </w:r>
            <w:r w:rsidRPr="008E4182">
              <w:rPr>
                <w:rFonts w:asciiTheme="majorBidi" w:hAnsiTheme="majorBidi" w:cstheme="majorBidi"/>
              </w:rPr>
              <w:t xml:space="preserve">52.3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1.37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0.183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tabs>
                <w:tab w:val="right" w:pos="1974"/>
              </w:tabs>
              <w:spacing w:after="23"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sodium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(mg/dl)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129.6</w:t>
            </w:r>
            <w:r w:rsidRPr="00EF594D">
              <w:rPr>
                <w:rFonts w:asciiTheme="majorBidi" w:hAnsiTheme="majorBidi" w:cstheme="majorBidi"/>
              </w:rPr>
              <w:t>±</w:t>
            </w:r>
            <w:r w:rsidRPr="008E4182">
              <w:rPr>
                <w:rFonts w:asciiTheme="majorBidi" w:hAnsiTheme="majorBidi" w:cstheme="majorBidi"/>
              </w:rPr>
              <w:t xml:space="preserve">23.6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137.3</w:t>
            </w:r>
            <w:r w:rsidRPr="00EF594D">
              <w:rPr>
                <w:rFonts w:asciiTheme="majorBidi" w:hAnsiTheme="majorBidi" w:cstheme="majorBidi"/>
              </w:rPr>
              <w:t>±</w:t>
            </w:r>
            <w:r w:rsidRPr="008E4182">
              <w:rPr>
                <w:rFonts w:asciiTheme="majorBidi" w:hAnsiTheme="majorBidi" w:cstheme="majorBidi"/>
              </w:rPr>
              <w:t xml:space="preserve">53.3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3.5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Serum C3 (mg/dl) </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51.7</w:t>
            </w:r>
            <w:r w:rsidRPr="00EF594D">
              <w:rPr>
                <w:rFonts w:asciiTheme="majorBidi" w:hAnsiTheme="majorBidi" w:cstheme="majorBidi"/>
              </w:rPr>
              <w:t>±</w:t>
            </w:r>
            <w:r w:rsidRPr="008E4182">
              <w:rPr>
                <w:rFonts w:asciiTheme="majorBidi" w:hAnsiTheme="majorBidi" w:cstheme="majorBidi"/>
              </w:rPr>
              <w:t xml:space="preserve">11.3 </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85.6</w:t>
            </w:r>
            <w:r w:rsidRPr="00EF594D">
              <w:rPr>
                <w:rFonts w:asciiTheme="majorBidi" w:hAnsiTheme="majorBidi" w:cstheme="majorBidi"/>
              </w:rPr>
              <w:t>±</w:t>
            </w:r>
            <w:r w:rsidRPr="008E4182">
              <w:rPr>
                <w:rFonts w:asciiTheme="majorBidi" w:hAnsiTheme="majorBidi" w:cstheme="majorBidi"/>
              </w:rPr>
              <w:t xml:space="preserve">15.6 </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2.9 </w:t>
            </w:r>
          </w:p>
        </w:tc>
        <w:tc>
          <w:tcPr>
            <w:tcW w:w="1037"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3"/>
        </w:trPr>
        <w:tc>
          <w:tcPr>
            <w:tcW w:w="0" w:type="auto"/>
          </w:tcPr>
          <w:p w:rsidR="009A769D" w:rsidRPr="008E4182" w:rsidRDefault="009A769D" w:rsidP="00586431">
            <w:pPr>
              <w:spacing w:after="160" w:line="259" w:lineRule="auto"/>
              <w:ind w:left="0" w:firstLine="0"/>
              <w:jc w:val="left"/>
              <w:rPr>
                <w:rFonts w:asciiTheme="majorBidi" w:hAnsiTheme="majorBidi" w:cstheme="majorBidi"/>
              </w:rPr>
            </w:pPr>
          </w:p>
        </w:tc>
        <w:tc>
          <w:tcPr>
            <w:tcW w:w="2132" w:type="dxa"/>
          </w:tcPr>
          <w:p w:rsidR="009A769D" w:rsidRPr="008E4182" w:rsidRDefault="009A769D" w:rsidP="00586431">
            <w:pPr>
              <w:spacing w:after="0" w:line="259" w:lineRule="auto"/>
              <w:ind w:left="0" w:firstLine="0"/>
              <w:jc w:val="left"/>
              <w:rPr>
                <w:rFonts w:asciiTheme="majorBidi" w:hAnsiTheme="majorBidi" w:cstheme="majorBidi"/>
              </w:rPr>
            </w:pPr>
            <w:r w:rsidRPr="00EF594D">
              <w:rPr>
                <w:rFonts w:asciiTheme="majorBidi" w:hAnsiTheme="majorBidi" w:cstheme="majorBidi"/>
                <w:sz w:val="22"/>
                <w:szCs w:val="22"/>
              </w:rPr>
              <w:t>ADAMST13%</w:t>
            </w:r>
          </w:p>
        </w:tc>
        <w:tc>
          <w:tcPr>
            <w:tcW w:w="1349" w:type="dxa"/>
          </w:tcPr>
          <w:p w:rsidR="009A769D" w:rsidRPr="008E4182" w:rsidRDefault="009A769D" w:rsidP="00586431">
            <w:pPr>
              <w:spacing w:after="0" w:line="259" w:lineRule="auto"/>
              <w:ind w:left="0" w:firstLine="0"/>
              <w:jc w:val="left"/>
              <w:rPr>
                <w:rFonts w:asciiTheme="majorBidi" w:hAnsiTheme="majorBidi" w:cstheme="majorBidi"/>
              </w:rPr>
            </w:pPr>
            <w:r w:rsidRPr="00EF594D">
              <w:rPr>
                <w:rFonts w:asciiTheme="majorBidi" w:hAnsiTheme="majorBidi" w:cstheme="majorBidi"/>
                <w:sz w:val="22"/>
                <w:szCs w:val="22"/>
              </w:rPr>
              <w:t>68.6±12.3</w:t>
            </w:r>
          </w:p>
        </w:tc>
        <w:tc>
          <w:tcPr>
            <w:tcW w:w="1489" w:type="dxa"/>
          </w:tcPr>
          <w:p w:rsidR="009A769D" w:rsidRPr="008E4182" w:rsidRDefault="009A769D" w:rsidP="00586431">
            <w:pPr>
              <w:spacing w:after="0" w:line="259" w:lineRule="auto"/>
              <w:ind w:left="0" w:firstLine="0"/>
              <w:jc w:val="left"/>
              <w:rPr>
                <w:rFonts w:asciiTheme="majorBidi" w:hAnsiTheme="majorBidi" w:cstheme="majorBidi"/>
              </w:rPr>
            </w:pPr>
            <w:r w:rsidRPr="00EF594D">
              <w:rPr>
                <w:rFonts w:asciiTheme="majorBidi" w:hAnsiTheme="majorBidi" w:cstheme="majorBidi"/>
                <w:color w:val="000000" w:themeColor="text1"/>
                <w:sz w:val="22"/>
                <w:szCs w:val="22"/>
              </w:rPr>
              <w:t>83.3±16.5</w:t>
            </w:r>
          </w:p>
        </w:tc>
        <w:tc>
          <w:tcPr>
            <w:tcW w:w="884" w:type="dxa"/>
          </w:tcPr>
          <w:p w:rsidR="009A769D" w:rsidRPr="008E4182" w:rsidRDefault="009A769D" w:rsidP="00586431">
            <w:pPr>
              <w:spacing w:after="0" w:line="259" w:lineRule="auto"/>
              <w:ind w:left="0" w:firstLine="0"/>
              <w:jc w:val="left"/>
              <w:rPr>
                <w:rFonts w:asciiTheme="majorBidi" w:hAnsiTheme="majorBidi" w:cstheme="majorBidi"/>
              </w:rPr>
            </w:pPr>
            <w:r w:rsidRPr="00EF594D">
              <w:rPr>
                <w:rFonts w:asciiTheme="majorBidi" w:hAnsiTheme="majorBidi" w:cstheme="majorBidi"/>
                <w:sz w:val="22"/>
                <w:szCs w:val="22"/>
              </w:rPr>
              <w:t>1.7</w:t>
            </w:r>
          </w:p>
        </w:tc>
        <w:tc>
          <w:tcPr>
            <w:tcW w:w="1037" w:type="dxa"/>
          </w:tcPr>
          <w:p w:rsidR="009A769D" w:rsidRPr="008E4182" w:rsidRDefault="009A769D" w:rsidP="00586431">
            <w:pPr>
              <w:spacing w:after="0" w:line="259" w:lineRule="auto"/>
              <w:ind w:left="5" w:firstLine="0"/>
              <w:jc w:val="left"/>
              <w:rPr>
                <w:rFonts w:asciiTheme="majorBidi" w:hAnsiTheme="majorBidi" w:cstheme="majorBidi"/>
                <w:b/>
              </w:rPr>
            </w:pPr>
            <w:r w:rsidRPr="00EF594D">
              <w:rPr>
                <w:rFonts w:asciiTheme="majorBidi" w:hAnsiTheme="majorBidi" w:cstheme="majorBidi"/>
                <w:sz w:val="22"/>
                <w:szCs w:val="22"/>
              </w:rPr>
              <w:t>0.096</w:t>
            </w:r>
          </w:p>
        </w:tc>
      </w:tr>
      <w:tr w:rsidR="009A769D" w:rsidRPr="00EF594D" w:rsidTr="00586431">
        <w:trPr>
          <w:trHeight w:val="752"/>
        </w:trPr>
        <w:tc>
          <w:tcPr>
            <w:tcW w:w="8534" w:type="dxa"/>
            <w:gridSpan w:val="6"/>
          </w:tcPr>
          <w:p w:rsidR="009A769D" w:rsidRPr="00EF594D" w:rsidRDefault="009A769D" w:rsidP="00586431">
            <w:pPr>
              <w:spacing w:after="0" w:line="259" w:lineRule="auto"/>
              <w:ind w:left="5" w:firstLine="0"/>
              <w:jc w:val="left"/>
              <w:rPr>
                <w:rFonts w:asciiTheme="majorBidi" w:hAnsiTheme="majorBidi" w:cstheme="majorBidi"/>
                <w:sz w:val="22"/>
                <w:szCs w:val="22"/>
              </w:rPr>
            </w:pPr>
            <w:r w:rsidRPr="008E4182">
              <w:rPr>
                <w:rFonts w:asciiTheme="majorBidi" w:hAnsiTheme="majorBidi" w:cstheme="majorBidi"/>
                <w:b/>
                <w:bCs/>
                <w:sz w:val="22"/>
                <w:szCs w:val="22"/>
              </w:rPr>
              <w:t>ADAMT13</w:t>
            </w:r>
            <w:r w:rsidRPr="00EF594D">
              <w:rPr>
                <w:rFonts w:asciiTheme="majorBidi" w:hAnsiTheme="majorBidi" w:cstheme="majorBidi"/>
                <w:sz w:val="22"/>
                <w:szCs w:val="22"/>
              </w:rPr>
              <w:t>:</w:t>
            </w:r>
            <w:r w:rsidRPr="008E4182">
              <w:rPr>
                <w:rFonts w:asciiTheme="majorBidi" w:hAnsiTheme="majorBidi" w:cstheme="majorBidi"/>
              </w:rPr>
              <w:t xml:space="preserve"> </w:t>
            </w:r>
            <w:r w:rsidRPr="008E4182">
              <w:rPr>
                <w:rFonts w:asciiTheme="majorBidi" w:hAnsiTheme="majorBidi" w:cstheme="majorBidi"/>
                <w:b/>
                <w:bCs/>
              </w:rPr>
              <w:t xml:space="preserve">A </w:t>
            </w:r>
            <w:proofErr w:type="spellStart"/>
            <w:r w:rsidRPr="008E4182">
              <w:rPr>
                <w:rFonts w:asciiTheme="majorBidi" w:hAnsiTheme="majorBidi" w:cstheme="majorBidi"/>
                <w:b/>
                <w:bCs/>
              </w:rPr>
              <w:t>Disintegrin</w:t>
            </w:r>
            <w:proofErr w:type="spellEnd"/>
            <w:r w:rsidRPr="008E4182">
              <w:rPr>
                <w:rFonts w:asciiTheme="majorBidi" w:hAnsiTheme="majorBidi" w:cstheme="majorBidi"/>
                <w:b/>
                <w:bCs/>
              </w:rPr>
              <w:t xml:space="preserve"> And Metalloproteinase with Thrombospondin type 1 motif, member 13</w:t>
            </w:r>
          </w:p>
        </w:tc>
      </w:tr>
    </w:tbl>
    <w:p w:rsidR="009A769D" w:rsidRPr="008E4182" w:rsidRDefault="009A769D" w:rsidP="009A769D">
      <w:pPr>
        <w:spacing w:after="369"/>
        <w:ind w:left="0" w:right="2" w:firstLine="0"/>
        <w:rPr>
          <w:rFonts w:asciiTheme="majorBidi" w:hAnsiTheme="majorBidi" w:cstheme="majorBidi"/>
        </w:rPr>
      </w:pPr>
      <w:r w:rsidRPr="008E4182">
        <w:rPr>
          <w:rFonts w:asciiTheme="majorBidi" w:hAnsiTheme="majorBidi" w:cstheme="majorBidi"/>
        </w:rPr>
        <w:t xml:space="preserve">*: significant (p&lt;0.05). </w:t>
      </w:r>
    </w:p>
    <w:p w:rsidR="009A769D" w:rsidRPr="008E4182" w:rsidRDefault="009A769D" w:rsidP="009A769D">
      <w:pPr>
        <w:spacing w:after="0" w:line="259" w:lineRule="auto"/>
        <w:ind w:left="44" w:firstLine="0"/>
        <w:jc w:val="left"/>
        <w:rPr>
          <w:rFonts w:asciiTheme="majorBidi" w:hAnsiTheme="majorBidi" w:cstheme="majorBidi"/>
          <w:b/>
        </w:rPr>
      </w:pPr>
      <w:r w:rsidRPr="008E4182">
        <w:rPr>
          <w:rFonts w:asciiTheme="majorBidi" w:hAnsiTheme="majorBidi" w:cstheme="majorBidi"/>
          <w:b/>
        </w:rPr>
        <w:t xml:space="preserve"> </w:t>
      </w: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b/>
        </w:rPr>
      </w:pPr>
    </w:p>
    <w:p w:rsidR="009A769D" w:rsidRPr="008E4182" w:rsidRDefault="009A769D" w:rsidP="009A769D">
      <w:pPr>
        <w:spacing w:after="0" w:line="259" w:lineRule="auto"/>
        <w:ind w:left="44" w:firstLine="0"/>
        <w:jc w:val="left"/>
        <w:rPr>
          <w:rFonts w:asciiTheme="majorBidi" w:hAnsiTheme="majorBidi" w:cstheme="majorBidi"/>
        </w:rPr>
      </w:pPr>
      <w:r w:rsidRPr="008E4182">
        <w:rPr>
          <w:rFonts w:asciiTheme="majorBidi" w:hAnsiTheme="majorBidi" w:cstheme="majorBidi"/>
          <w:b/>
        </w:rPr>
        <w:lastRenderedPageBreak/>
        <w:t xml:space="preserve">Table 6 : Clinical, Laboratory Differences Between Mortality </w:t>
      </w: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t xml:space="preserve">Cases and Survivors in Pediatric HUS </w:t>
      </w:r>
    </w:p>
    <w:tbl>
      <w:tblPr>
        <w:tblStyle w:val="TableGrid"/>
        <w:tblW w:w="8534"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7" w:type="dxa"/>
          <w:left w:w="106" w:type="dxa"/>
        </w:tblCellMar>
        <w:tblLook w:val="04A0" w:firstRow="1" w:lastRow="0" w:firstColumn="1" w:lastColumn="0" w:noHBand="0" w:noVBand="1"/>
      </w:tblPr>
      <w:tblGrid>
        <w:gridCol w:w="1691"/>
        <w:gridCol w:w="2247"/>
        <w:gridCol w:w="1335"/>
        <w:gridCol w:w="1436"/>
        <w:gridCol w:w="764"/>
        <w:gridCol w:w="1061"/>
      </w:tblGrid>
      <w:tr w:rsidR="009A769D" w:rsidRPr="00EF594D" w:rsidTr="00586431">
        <w:trPr>
          <w:trHeight w:val="835"/>
        </w:trPr>
        <w:tc>
          <w:tcPr>
            <w:tcW w:w="169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 </w:t>
            </w: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Item  </w:t>
            </w:r>
          </w:p>
        </w:tc>
        <w:tc>
          <w:tcPr>
            <w:tcW w:w="1335" w:type="dxa"/>
          </w:tcPr>
          <w:p w:rsidR="009A769D" w:rsidRPr="008E4182" w:rsidRDefault="009A769D" w:rsidP="00586431">
            <w:pPr>
              <w:spacing w:after="0" w:line="273" w:lineRule="auto"/>
              <w:ind w:left="5" w:firstLine="0"/>
              <w:jc w:val="left"/>
              <w:rPr>
                <w:rFonts w:asciiTheme="majorBidi" w:hAnsiTheme="majorBidi" w:cstheme="majorBidi"/>
              </w:rPr>
            </w:pPr>
            <w:r w:rsidRPr="008E4182">
              <w:rPr>
                <w:rFonts w:asciiTheme="majorBidi" w:hAnsiTheme="majorBidi" w:cstheme="majorBidi"/>
              </w:rPr>
              <w:t xml:space="preserve">Mortality   N= 5 </w:t>
            </w:r>
          </w:p>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color w:val="EE0000"/>
              </w:rPr>
              <w:t xml:space="preserve"> </w:t>
            </w:r>
          </w:p>
        </w:tc>
        <w:tc>
          <w:tcPr>
            <w:tcW w:w="1436" w:type="dxa"/>
          </w:tcPr>
          <w:p w:rsidR="009A769D" w:rsidRPr="008E4182" w:rsidRDefault="009A769D" w:rsidP="00586431">
            <w:pPr>
              <w:spacing w:after="16" w:line="259" w:lineRule="auto"/>
              <w:ind w:left="0" w:firstLine="0"/>
              <w:jc w:val="left"/>
              <w:rPr>
                <w:rFonts w:asciiTheme="majorBidi" w:hAnsiTheme="majorBidi" w:cstheme="majorBidi"/>
              </w:rPr>
            </w:pPr>
            <w:r w:rsidRPr="008E4182">
              <w:rPr>
                <w:rFonts w:asciiTheme="majorBidi" w:hAnsiTheme="majorBidi" w:cstheme="majorBidi"/>
              </w:rPr>
              <w:t xml:space="preserve">Survivors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N= 38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X</w:t>
            </w:r>
            <w:r w:rsidRPr="008E4182">
              <w:rPr>
                <w:rFonts w:asciiTheme="majorBidi" w:hAnsiTheme="majorBidi" w:cstheme="majorBidi"/>
                <w:sz w:val="16"/>
              </w:rPr>
              <w:t>2</w:t>
            </w:r>
            <w:r w:rsidRPr="008E4182">
              <w:rPr>
                <w:rFonts w:asciiTheme="majorBidi" w:hAnsiTheme="majorBidi" w:cstheme="majorBidi"/>
              </w:rPr>
              <w:t xml:space="preserve"> /t </w:t>
            </w:r>
            <w:r w:rsidRPr="008E4182">
              <w:rPr>
                <w:rFonts w:asciiTheme="majorBidi" w:hAnsiTheme="majorBidi" w:cstheme="majorBidi"/>
                <w:sz w:val="16"/>
              </w:rPr>
              <w:t xml:space="preserve">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P </w:t>
            </w:r>
          </w:p>
        </w:tc>
      </w:tr>
      <w:tr w:rsidR="009A769D" w:rsidRPr="00EF594D" w:rsidTr="00586431">
        <w:trPr>
          <w:trHeight w:val="288"/>
        </w:trPr>
        <w:tc>
          <w:tcPr>
            <w:tcW w:w="169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Demographics  </w:t>
            </w: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Age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1.1±0.2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4.6±0.9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3.1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Male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3(60%)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26(67%) </w:t>
            </w:r>
          </w:p>
        </w:tc>
        <w:tc>
          <w:tcPr>
            <w:tcW w:w="764" w:type="dxa"/>
            <w:vMerge w:val="restart"/>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0.115 </w:t>
            </w:r>
          </w:p>
        </w:tc>
        <w:tc>
          <w:tcPr>
            <w:tcW w:w="106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0.735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Female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1 (20%)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13 (33%)  </w:t>
            </w: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288"/>
        </w:trPr>
        <w:tc>
          <w:tcPr>
            <w:tcW w:w="169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HUS type  </w:t>
            </w: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Typical HUS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4 (80%)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19(48%) </w:t>
            </w:r>
          </w:p>
        </w:tc>
        <w:tc>
          <w:tcPr>
            <w:tcW w:w="764" w:type="dxa"/>
            <w:vMerge w:val="restart"/>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3.8 </w:t>
            </w:r>
          </w:p>
        </w:tc>
        <w:tc>
          <w:tcPr>
            <w:tcW w:w="106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Atypical HUS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1(20%)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0(0%)  </w:t>
            </w: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288"/>
        </w:trPr>
        <w:tc>
          <w:tcPr>
            <w:tcW w:w="169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Clinical data </w:t>
            </w: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Convulsions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4 (80%)</w:t>
            </w:r>
            <w:r w:rsidRPr="008E4182">
              <w:rPr>
                <w:rFonts w:asciiTheme="majorBidi" w:hAnsiTheme="majorBidi" w:cstheme="majorBidi"/>
                <w:color w:val="EE0000"/>
              </w:rPr>
              <w:t xml:space="preserve">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11 (29%)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8.2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Hypertension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4 (80%)</w:t>
            </w:r>
            <w:r w:rsidRPr="008E4182">
              <w:rPr>
                <w:rFonts w:asciiTheme="majorBidi" w:hAnsiTheme="majorBidi" w:cstheme="majorBidi"/>
                <w:color w:val="EE0000"/>
              </w:rPr>
              <w:t xml:space="preserve">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29 (76%)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1.36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0.248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Edema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4 (80%)</w:t>
            </w:r>
            <w:r w:rsidRPr="008E4182">
              <w:rPr>
                <w:rFonts w:asciiTheme="majorBidi" w:hAnsiTheme="majorBidi" w:cstheme="majorBidi"/>
                <w:color w:val="EE0000"/>
              </w:rPr>
              <w:t xml:space="preserve">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27(71%)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1.7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0.191 </w:t>
            </w:r>
          </w:p>
        </w:tc>
      </w:tr>
      <w:tr w:rsidR="009A769D" w:rsidRPr="00EF594D" w:rsidTr="00586431">
        <w:trPr>
          <w:trHeight w:val="284"/>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Oliguria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4 (80%)</w:t>
            </w:r>
            <w:r w:rsidRPr="008E4182">
              <w:rPr>
                <w:rFonts w:asciiTheme="majorBidi" w:hAnsiTheme="majorBidi" w:cstheme="majorBidi"/>
                <w:color w:val="EE0000"/>
              </w:rPr>
              <w:t xml:space="preserve">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21 (55%)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3.1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0.751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Dermatological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 (40%)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0(0%)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10.5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GIT Complications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3(60%)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5(13%)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9.21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146"/>
        </w:trPr>
        <w:tc>
          <w:tcPr>
            <w:tcW w:w="1691" w:type="dxa"/>
            <w:vMerge w:val="restart"/>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Laboratory findings  </w:t>
            </w: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Hemoglobin (g/dl)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4.7±0.5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6.1±0.6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3.0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A44688" w:rsidP="00586431">
            <w:pPr>
              <w:spacing w:after="0" w:line="259" w:lineRule="auto"/>
              <w:ind w:left="0" w:firstLine="0"/>
              <w:jc w:val="left"/>
              <w:rPr>
                <w:rFonts w:asciiTheme="majorBidi" w:hAnsiTheme="majorBidi" w:cstheme="majorBidi"/>
              </w:rPr>
            </w:pPr>
            <w:r>
              <w:rPr>
                <w:rFonts w:asciiTheme="majorBidi" w:hAnsiTheme="majorBidi" w:cstheme="majorBidi"/>
              </w:rPr>
              <w:t>Leucocyte</w:t>
            </w:r>
            <w:r w:rsidR="009A769D" w:rsidRPr="008E4182">
              <w:rPr>
                <w:rFonts w:asciiTheme="majorBidi" w:hAnsiTheme="majorBidi" w:cstheme="majorBidi"/>
              </w:rPr>
              <w:t xml:space="preserve"> count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25.2±3.6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15.8±5.5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3.1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Platelets count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27.7±8.6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83.1±10.3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30.6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tabs>
                <w:tab w:val="right" w:pos="2142"/>
              </w:tabs>
              <w:spacing w:after="28"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creatinine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(mg/dl)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6.7±0.71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4.6±0.8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2.1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&lt;0.05* </w:t>
            </w:r>
          </w:p>
        </w:tc>
      </w:tr>
      <w:tr w:rsidR="009A769D" w:rsidRPr="00EF594D" w:rsidTr="00586431">
        <w:trPr>
          <w:trHeight w:val="566"/>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19" w:line="259" w:lineRule="auto"/>
              <w:ind w:left="0" w:firstLine="0"/>
              <w:jc w:val="left"/>
              <w:rPr>
                <w:rFonts w:asciiTheme="majorBidi" w:hAnsiTheme="majorBidi" w:cstheme="majorBidi"/>
              </w:rPr>
            </w:pPr>
            <w:r w:rsidRPr="008E4182">
              <w:rPr>
                <w:rFonts w:asciiTheme="majorBidi" w:hAnsiTheme="majorBidi" w:cstheme="majorBidi"/>
              </w:rPr>
              <w:t xml:space="preserve">GFR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(ml/min/1.37m2)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6.7±0.8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17.7±1.1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2.7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3"/>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Serum urea (mg/dl )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287.0±18.2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152.6±12.3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4.3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&lt;0.001*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tabs>
                <w:tab w:val="right" w:pos="2142"/>
              </w:tabs>
              <w:spacing w:after="29"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sodium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(mg/dl)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129.2±30.1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135.3±39.3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1.7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0.08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tabs>
                <w:tab w:val="right" w:pos="2142"/>
              </w:tabs>
              <w:spacing w:after="28"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potassium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(mg/dl )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6.7.2±1.1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4.9±0.9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3.5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562"/>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tabs>
                <w:tab w:val="right" w:pos="2142"/>
              </w:tabs>
              <w:spacing w:after="27" w:line="259" w:lineRule="auto"/>
              <w:ind w:left="0" w:firstLine="0"/>
              <w:jc w:val="left"/>
              <w:rPr>
                <w:rFonts w:asciiTheme="majorBidi" w:hAnsiTheme="majorBidi" w:cstheme="majorBidi"/>
              </w:rPr>
            </w:pPr>
            <w:r w:rsidRPr="008E4182">
              <w:rPr>
                <w:rFonts w:asciiTheme="majorBidi" w:hAnsiTheme="majorBidi" w:cstheme="majorBidi"/>
              </w:rPr>
              <w:t xml:space="preserve">Serum </w:t>
            </w:r>
            <w:r w:rsidRPr="008E4182">
              <w:rPr>
                <w:rFonts w:asciiTheme="majorBidi" w:hAnsiTheme="majorBidi" w:cstheme="majorBidi"/>
              </w:rPr>
              <w:tab/>
              <w:t xml:space="preserve">albumin </w:t>
            </w:r>
          </w:p>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(g/dl)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3.0±0.5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3.7±1.2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3.5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ESR ( mm/</w:t>
            </w:r>
            <w:proofErr w:type="spellStart"/>
            <w:r w:rsidRPr="008E4182">
              <w:rPr>
                <w:rFonts w:asciiTheme="majorBidi" w:hAnsiTheme="majorBidi" w:cstheme="majorBidi"/>
              </w:rPr>
              <w:t>hr</w:t>
            </w:r>
            <w:proofErr w:type="spellEnd"/>
            <w:r w:rsidRPr="008E4182">
              <w:rPr>
                <w:rFonts w:asciiTheme="majorBidi" w:hAnsiTheme="majorBidi" w:cstheme="majorBidi"/>
              </w:rPr>
              <w:t xml:space="preserve">)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152.3±23.6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87.3±18.3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1.9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0.05 </w:t>
            </w:r>
          </w:p>
        </w:tc>
      </w:tr>
      <w:tr w:rsidR="009A769D" w:rsidRPr="00EF594D" w:rsidTr="00586431">
        <w:trPr>
          <w:trHeight w:val="284"/>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Serum C3 (mg/dl)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24.00±1.6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78.2±3.6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2.8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&lt;0.01* </w:t>
            </w: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2247"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LDH ( u/l) </w:t>
            </w:r>
          </w:p>
        </w:tc>
        <w:tc>
          <w:tcPr>
            <w:tcW w:w="1335"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6400±891 </w:t>
            </w:r>
          </w:p>
        </w:tc>
        <w:tc>
          <w:tcPr>
            <w:tcW w:w="1436"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2512±563 </w:t>
            </w:r>
          </w:p>
        </w:tc>
        <w:tc>
          <w:tcPr>
            <w:tcW w:w="764" w:type="dxa"/>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4.4 </w:t>
            </w:r>
          </w:p>
        </w:tc>
        <w:tc>
          <w:tcPr>
            <w:tcW w:w="1061" w:type="dxa"/>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b/>
              </w:rPr>
              <w:t xml:space="preserve">&lt;0.001* </w:t>
            </w:r>
          </w:p>
        </w:tc>
      </w:tr>
      <w:tr w:rsidR="009A769D" w:rsidRPr="00EF594D" w:rsidTr="00586431">
        <w:trPr>
          <w:trHeight w:val="288"/>
        </w:trPr>
        <w:tc>
          <w:tcPr>
            <w:tcW w:w="8534" w:type="dxa"/>
            <w:gridSpan w:val="6"/>
          </w:tcPr>
          <w:p w:rsidR="009A769D" w:rsidRPr="008E4182" w:rsidRDefault="009A769D" w:rsidP="00586431">
            <w:pPr>
              <w:spacing w:after="0" w:line="259" w:lineRule="auto"/>
              <w:ind w:left="5" w:firstLine="0"/>
              <w:jc w:val="left"/>
              <w:rPr>
                <w:rFonts w:asciiTheme="majorBidi" w:hAnsiTheme="majorBidi" w:cstheme="majorBidi"/>
                <w:b/>
              </w:rPr>
            </w:pPr>
            <w:r w:rsidRPr="008E4182">
              <w:rPr>
                <w:rFonts w:asciiTheme="majorBidi" w:hAnsiTheme="majorBidi" w:cstheme="majorBidi"/>
                <w:b/>
              </w:rPr>
              <w:t>GFR : glomerular filtration rate            LDH: lactate dehydrogenase</w:t>
            </w:r>
          </w:p>
          <w:p w:rsidR="009A769D" w:rsidRPr="008E4182" w:rsidRDefault="009A769D" w:rsidP="00586431">
            <w:pPr>
              <w:spacing w:after="0" w:line="259" w:lineRule="auto"/>
              <w:ind w:left="5" w:firstLine="0"/>
              <w:jc w:val="left"/>
              <w:rPr>
                <w:rFonts w:asciiTheme="majorBidi" w:hAnsiTheme="majorBidi" w:cstheme="majorBidi"/>
                <w:b/>
                <w:bCs/>
              </w:rPr>
            </w:pPr>
            <w:r w:rsidRPr="008E4182">
              <w:rPr>
                <w:rFonts w:asciiTheme="majorBidi" w:hAnsiTheme="majorBidi" w:cstheme="majorBidi"/>
                <w:b/>
              </w:rPr>
              <w:t xml:space="preserve">ESR: </w:t>
            </w:r>
            <w:r w:rsidRPr="008E4182">
              <w:rPr>
                <w:rFonts w:asciiTheme="majorBidi" w:hAnsiTheme="majorBidi" w:cstheme="majorBidi"/>
                <w:b/>
                <w:bCs/>
              </w:rPr>
              <w:t>Erythrocyte Sedimentation Rate</w:t>
            </w:r>
          </w:p>
          <w:p w:rsidR="009A769D" w:rsidRPr="008E4182" w:rsidRDefault="009A769D" w:rsidP="00586431">
            <w:pPr>
              <w:spacing w:after="0" w:line="259" w:lineRule="auto"/>
              <w:jc w:val="left"/>
              <w:rPr>
                <w:rFonts w:asciiTheme="majorBidi" w:hAnsiTheme="majorBidi" w:cstheme="majorBidi"/>
                <w:b/>
              </w:rPr>
            </w:pPr>
          </w:p>
        </w:tc>
      </w:tr>
    </w:tbl>
    <w:p w:rsidR="009A769D" w:rsidRPr="008E4182" w:rsidRDefault="009A769D" w:rsidP="009A769D">
      <w:pPr>
        <w:spacing w:after="369"/>
        <w:ind w:left="39" w:right="2"/>
        <w:rPr>
          <w:rFonts w:asciiTheme="majorBidi" w:hAnsiTheme="majorBidi" w:cstheme="majorBidi"/>
        </w:rPr>
      </w:pPr>
      <w:r w:rsidRPr="008E4182">
        <w:rPr>
          <w:rFonts w:asciiTheme="majorBidi" w:hAnsiTheme="majorBidi" w:cstheme="majorBidi"/>
        </w:rPr>
        <w:t xml:space="preserve">*: significant (p&lt;0.05). </w:t>
      </w:r>
    </w:p>
    <w:p w:rsidR="009A769D" w:rsidRPr="008E4182" w:rsidRDefault="009A769D" w:rsidP="009A769D">
      <w:pPr>
        <w:spacing w:after="348" w:line="259" w:lineRule="auto"/>
        <w:ind w:left="44" w:firstLine="0"/>
        <w:jc w:val="left"/>
        <w:rPr>
          <w:rFonts w:asciiTheme="majorBidi" w:hAnsiTheme="majorBidi" w:cstheme="majorBidi"/>
        </w:rPr>
      </w:pPr>
      <w:r w:rsidRPr="008E4182">
        <w:rPr>
          <w:rFonts w:asciiTheme="majorBidi" w:hAnsiTheme="majorBidi" w:cstheme="majorBidi"/>
          <w:b/>
        </w:rPr>
        <w:t xml:space="preserve"> </w:t>
      </w:r>
    </w:p>
    <w:p w:rsidR="009A769D" w:rsidRPr="008E4182" w:rsidRDefault="009A769D" w:rsidP="009A769D">
      <w:pPr>
        <w:spacing w:after="352" w:line="259" w:lineRule="auto"/>
        <w:jc w:val="left"/>
        <w:rPr>
          <w:rFonts w:asciiTheme="majorBidi" w:hAnsiTheme="majorBidi" w:cstheme="majorBidi"/>
        </w:rPr>
      </w:pP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lastRenderedPageBreak/>
        <w:t>Table 7</w:t>
      </w:r>
      <w:r w:rsidRPr="008E4182">
        <w:rPr>
          <w:rFonts w:asciiTheme="majorBidi" w:hAnsiTheme="majorBidi" w:cstheme="majorBidi"/>
        </w:rPr>
        <w:t xml:space="preserve">: </w:t>
      </w:r>
      <w:r w:rsidRPr="008E4182">
        <w:rPr>
          <w:rFonts w:asciiTheme="majorBidi" w:hAnsiTheme="majorBidi" w:cstheme="majorBidi"/>
          <w:b/>
        </w:rPr>
        <w:t>Predictive Value of Stool Culture, Shiga Toxin, and Renal Function for Mortality in Typical HUS</w:t>
      </w:r>
      <w:r w:rsidRPr="008E4182">
        <w:rPr>
          <w:rFonts w:asciiTheme="majorBidi" w:hAnsiTheme="majorBidi" w:cstheme="majorBidi"/>
        </w:rPr>
        <w:t xml:space="preserve"> </w:t>
      </w:r>
    </w:p>
    <w:tbl>
      <w:tblPr>
        <w:tblStyle w:val="TableGrid"/>
        <w:tblW w:w="8370" w:type="dxa"/>
        <w:tblInd w:w="14" w:type="dxa"/>
        <w:tblCellMar>
          <w:top w:w="7" w:type="dxa"/>
          <w:left w:w="106" w:type="dxa"/>
          <w:right w:w="47" w:type="dxa"/>
        </w:tblCellMar>
        <w:tblLook w:val="04A0" w:firstRow="1" w:lastRow="0" w:firstColumn="1" w:lastColumn="0" w:noHBand="0" w:noVBand="1"/>
      </w:tblPr>
      <w:tblGrid>
        <w:gridCol w:w="2412"/>
        <w:gridCol w:w="1100"/>
        <w:gridCol w:w="1440"/>
        <w:gridCol w:w="1291"/>
        <w:gridCol w:w="2127"/>
      </w:tblGrid>
      <w:tr w:rsidR="009A769D" w:rsidRPr="00EF594D" w:rsidTr="00586431">
        <w:trPr>
          <w:trHeight w:val="288"/>
        </w:trPr>
        <w:tc>
          <w:tcPr>
            <w:tcW w:w="2412" w:type="dxa"/>
            <w:vMerge w:val="restart"/>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Typical HUS (Group A)  </w:t>
            </w:r>
          </w:p>
        </w:tc>
        <w:tc>
          <w:tcPr>
            <w:tcW w:w="1100" w:type="dxa"/>
            <w:tcBorders>
              <w:top w:val="single" w:sz="4" w:space="0" w:color="000000"/>
              <w:left w:val="single" w:sz="4" w:space="0" w:color="000000"/>
              <w:bottom w:val="single" w:sz="4" w:space="0" w:color="000000"/>
              <w:right w:val="nil"/>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Mortality </w:t>
            </w:r>
          </w:p>
        </w:tc>
        <w:tc>
          <w:tcPr>
            <w:tcW w:w="1440" w:type="dxa"/>
            <w:tcBorders>
              <w:top w:val="single" w:sz="4" w:space="0" w:color="000000"/>
              <w:left w:val="nil"/>
              <w:bottom w:val="single" w:sz="4" w:space="0" w:color="000000"/>
              <w:right w:val="nil"/>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1291" w:type="dxa"/>
            <w:tcBorders>
              <w:top w:val="single" w:sz="4" w:space="0" w:color="000000"/>
              <w:left w:val="nil"/>
              <w:bottom w:val="single" w:sz="4" w:space="0" w:color="000000"/>
              <w:right w:val="nil"/>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2127" w:type="dxa"/>
            <w:tcBorders>
              <w:top w:val="single" w:sz="4" w:space="0" w:color="000000"/>
              <w:left w:val="nil"/>
              <w:bottom w:val="single" w:sz="4" w:space="0" w:color="000000"/>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562"/>
        </w:trPr>
        <w:tc>
          <w:tcPr>
            <w:tcW w:w="0" w:type="auto"/>
            <w:vMerge/>
            <w:tcBorders>
              <w:top w:val="nil"/>
              <w:left w:val="single" w:sz="4" w:space="0" w:color="000000"/>
              <w:bottom w:val="single" w:sz="4" w:space="0" w:color="000000"/>
              <w:right w:val="single" w:sz="4" w:space="0" w:color="000000"/>
            </w:tcBorders>
          </w:tcPr>
          <w:p w:rsidR="009A769D" w:rsidRPr="008E4182" w:rsidRDefault="009A769D" w:rsidP="00586431">
            <w:pPr>
              <w:spacing w:after="160" w:line="259" w:lineRule="auto"/>
              <w:ind w:left="0" w:firstLine="0"/>
              <w:jc w:val="left"/>
              <w:rPr>
                <w:rFonts w:asciiTheme="majorBidi" w:hAnsiTheme="majorBidi" w:cstheme="majorBidi"/>
              </w:rPr>
            </w:pPr>
          </w:p>
        </w:tc>
        <w:tc>
          <w:tcPr>
            <w:tcW w:w="110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Cutoff </w:t>
            </w:r>
          </w:p>
        </w:tc>
        <w:tc>
          <w:tcPr>
            <w:tcW w:w="144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16" w:line="259" w:lineRule="auto"/>
              <w:ind w:left="0" w:firstLine="0"/>
              <w:jc w:val="left"/>
              <w:rPr>
                <w:rFonts w:asciiTheme="majorBidi" w:hAnsiTheme="majorBidi" w:cstheme="majorBidi"/>
              </w:rPr>
            </w:pPr>
            <w:r w:rsidRPr="008E4182">
              <w:rPr>
                <w:rFonts w:asciiTheme="majorBidi" w:hAnsiTheme="majorBidi" w:cstheme="majorBidi"/>
              </w:rPr>
              <w:t>Sensitiv</w:t>
            </w:r>
            <w:r>
              <w:rPr>
                <w:rFonts w:asciiTheme="majorBidi" w:hAnsiTheme="majorBidi" w:cstheme="majorBidi"/>
              </w:rPr>
              <w:t>ity</w:t>
            </w:r>
          </w:p>
          <w:p w:rsidR="009A769D" w:rsidRPr="008E4182" w:rsidRDefault="009A769D" w:rsidP="00586431">
            <w:pPr>
              <w:spacing w:after="0" w:line="259" w:lineRule="auto"/>
              <w:ind w:left="0" w:firstLine="0"/>
              <w:jc w:val="left"/>
              <w:rPr>
                <w:rFonts w:asciiTheme="majorBidi" w:hAnsiTheme="majorBidi" w:cstheme="majorBidi"/>
              </w:rPr>
            </w:pPr>
          </w:p>
        </w:tc>
        <w:tc>
          <w:tcPr>
            <w:tcW w:w="1291"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Specificity </w:t>
            </w:r>
          </w:p>
        </w:tc>
        <w:tc>
          <w:tcPr>
            <w:tcW w:w="2127"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AUC </w:t>
            </w:r>
          </w:p>
        </w:tc>
      </w:tr>
      <w:tr w:rsidR="009A769D" w:rsidRPr="00EF594D" w:rsidTr="00586431">
        <w:trPr>
          <w:trHeight w:val="61"/>
        </w:trPr>
        <w:tc>
          <w:tcPr>
            <w:tcW w:w="2412"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Positive stool culture  </w:t>
            </w:r>
          </w:p>
        </w:tc>
        <w:tc>
          <w:tcPr>
            <w:tcW w:w="110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20% </w:t>
            </w:r>
          </w:p>
        </w:tc>
        <w:tc>
          <w:tcPr>
            <w:tcW w:w="1291"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8% </w:t>
            </w:r>
          </w:p>
        </w:tc>
        <w:tc>
          <w:tcPr>
            <w:tcW w:w="2127"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0.395 </w:t>
            </w:r>
          </w:p>
        </w:tc>
      </w:tr>
      <w:tr w:rsidR="009A769D" w:rsidRPr="00EF594D" w:rsidTr="00586431">
        <w:trPr>
          <w:trHeight w:val="284"/>
        </w:trPr>
        <w:tc>
          <w:tcPr>
            <w:tcW w:w="2412"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Positive Shiga toxins  </w:t>
            </w:r>
          </w:p>
        </w:tc>
        <w:tc>
          <w:tcPr>
            <w:tcW w:w="110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12% </w:t>
            </w:r>
          </w:p>
        </w:tc>
        <w:tc>
          <w:tcPr>
            <w:tcW w:w="1291"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5% </w:t>
            </w:r>
          </w:p>
        </w:tc>
        <w:tc>
          <w:tcPr>
            <w:tcW w:w="2127"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0.283 </w:t>
            </w:r>
          </w:p>
        </w:tc>
      </w:tr>
      <w:tr w:rsidR="009A769D" w:rsidRPr="00EF594D" w:rsidTr="00586431">
        <w:trPr>
          <w:trHeight w:val="562"/>
        </w:trPr>
        <w:tc>
          <w:tcPr>
            <w:tcW w:w="2412"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tabs>
                <w:tab w:val="right" w:pos="2259"/>
              </w:tabs>
              <w:spacing w:after="30" w:line="259" w:lineRule="auto"/>
              <w:ind w:left="0" w:firstLine="0"/>
              <w:jc w:val="left"/>
              <w:rPr>
                <w:rFonts w:asciiTheme="majorBidi" w:hAnsiTheme="majorBidi" w:cstheme="majorBidi"/>
              </w:rPr>
            </w:pPr>
            <w:r w:rsidRPr="008E4182">
              <w:rPr>
                <w:rFonts w:asciiTheme="majorBidi" w:hAnsiTheme="majorBidi" w:cstheme="majorBidi"/>
              </w:rPr>
              <w:t xml:space="preserve">Initial </w:t>
            </w:r>
            <w:r w:rsidRPr="008E4182">
              <w:rPr>
                <w:rFonts w:asciiTheme="majorBidi" w:hAnsiTheme="majorBidi" w:cstheme="majorBidi"/>
              </w:rPr>
              <w:tab/>
              <w:t xml:space="preserve">GFR </w:t>
            </w:r>
          </w:p>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(ml/min/1.73m2) </w:t>
            </w:r>
          </w:p>
        </w:tc>
        <w:tc>
          <w:tcPr>
            <w:tcW w:w="110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25 </w:t>
            </w:r>
          </w:p>
        </w:tc>
        <w:tc>
          <w:tcPr>
            <w:tcW w:w="1440"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100% </w:t>
            </w:r>
          </w:p>
        </w:tc>
        <w:tc>
          <w:tcPr>
            <w:tcW w:w="1291"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5" w:firstLine="0"/>
              <w:jc w:val="left"/>
              <w:rPr>
                <w:rFonts w:asciiTheme="majorBidi" w:hAnsiTheme="majorBidi" w:cstheme="majorBidi"/>
              </w:rPr>
            </w:pPr>
            <w:r w:rsidRPr="008E4182">
              <w:rPr>
                <w:rFonts w:asciiTheme="majorBidi" w:hAnsiTheme="majorBidi" w:cstheme="majorBidi"/>
              </w:rPr>
              <w:t xml:space="preserve">63% </w:t>
            </w:r>
          </w:p>
        </w:tc>
        <w:tc>
          <w:tcPr>
            <w:tcW w:w="2127" w:type="dxa"/>
            <w:tcBorders>
              <w:top w:val="single" w:sz="4" w:space="0" w:color="000000"/>
              <w:left w:val="single" w:sz="4" w:space="0" w:color="000000"/>
              <w:bottom w:val="single" w:sz="4" w:space="0" w:color="000000"/>
              <w:right w:val="single" w:sz="4" w:space="0" w:color="000000"/>
            </w:tcBorders>
          </w:tcPr>
          <w:p w:rsidR="009A769D" w:rsidRPr="008E4182" w:rsidRDefault="009A769D" w:rsidP="00586431">
            <w:pPr>
              <w:spacing w:after="0" w:line="259" w:lineRule="auto"/>
              <w:ind w:left="0" w:firstLine="0"/>
              <w:jc w:val="left"/>
              <w:rPr>
                <w:rFonts w:asciiTheme="majorBidi" w:hAnsiTheme="majorBidi" w:cstheme="majorBidi"/>
              </w:rPr>
            </w:pPr>
            <w:r w:rsidRPr="008E4182">
              <w:rPr>
                <w:rFonts w:asciiTheme="majorBidi" w:hAnsiTheme="majorBidi" w:cstheme="majorBidi"/>
              </w:rPr>
              <w:t xml:space="preserve">0.981 </w:t>
            </w:r>
          </w:p>
        </w:tc>
      </w:tr>
    </w:tbl>
    <w:p w:rsidR="009A769D" w:rsidRPr="008E4182" w:rsidRDefault="009A769D" w:rsidP="009A769D">
      <w:pPr>
        <w:spacing w:after="87" w:line="259" w:lineRule="auto"/>
        <w:ind w:left="39"/>
        <w:jc w:val="left"/>
        <w:rPr>
          <w:rFonts w:asciiTheme="majorBidi" w:hAnsiTheme="majorBidi" w:cstheme="majorBidi"/>
          <w:b/>
        </w:rPr>
      </w:pP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t>Table 8: Predictors of Chronicity in Atypical HUS</w:t>
      </w:r>
      <w:r w:rsidRPr="008E4182">
        <w:rPr>
          <w:rFonts w:asciiTheme="majorBidi" w:hAnsiTheme="majorBidi" w:cstheme="majorBidi"/>
        </w:rPr>
        <w:t xml:space="preserve"> </w:t>
      </w:r>
    </w:p>
    <w:tbl>
      <w:tblPr>
        <w:tblStyle w:val="a8"/>
        <w:tblW w:w="8370" w:type="dxa"/>
        <w:tblLook w:val="04A0" w:firstRow="1" w:lastRow="0" w:firstColumn="1" w:lastColumn="0" w:noHBand="0" w:noVBand="1"/>
      </w:tblPr>
      <w:tblGrid>
        <w:gridCol w:w="2264"/>
        <w:gridCol w:w="992"/>
        <w:gridCol w:w="1319"/>
        <w:gridCol w:w="1974"/>
        <w:gridCol w:w="1821"/>
      </w:tblGrid>
      <w:tr w:rsidR="009A769D" w:rsidRPr="00EF594D" w:rsidTr="00586431">
        <w:trPr>
          <w:trHeight w:val="283"/>
        </w:trPr>
        <w:tc>
          <w:tcPr>
            <w:tcW w:w="2264" w:type="dxa"/>
            <w:vMerge w:val="restart"/>
          </w:tcPr>
          <w:p w:rsidR="009A769D" w:rsidRPr="008E4182" w:rsidRDefault="009A769D" w:rsidP="00586431">
            <w:pPr>
              <w:tabs>
                <w:tab w:val="right" w:pos="2196"/>
              </w:tabs>
              <w:spacing w:after="25" w:line="259" w:lineRule="auto"/>
              <w:ind w:left="0" w:firstLine="0"/>
              <w:jc w:val="left"/>
              <w:rPr>
                <w:rFonts w:asciiTheme="majorBidi" w:hAnsiTheme="majorBidi" w:cstheme="majorBidi"/>
              </w:rPr>
            </w:pPr>
            <w:r w:rsidRPr="008E4182">
              <w:rPr>
                <w:rFonts w:asciiTheme="majorBidi" w:hAnsiTheme="majorBidi" w:cstheme="majorBidi"/>
              </w:rPr>
              <w:t xml:space="preserve">A-Typical </w:t>
            </w:r>
            <w:r w:rsidRPr="008E4182">
              <w:rPr>
                <w:rFonts w:asciiTheme="majorBidi" w:hAnsiTheme="majorBidi" w:cstheme="majorBidi"/>
              </w:rPr>
              <w:tab/>
              <w:t xml:space="preserve">HUS </w:t>
            </w:r>
          </w:p>
          <w:p w:rsidR="009A769D" w:rsidRPr="008E4182" w:rsidRDefault="009A769D" w:rsidP="00586431">
            <w:pPr>
              <w:spacing w:after="0" w:line="259" w:lineRule="auto"/>
              <w:ind w:left="82" w:firstLine="0"/>
              <w:jc w:val="left"/>
              <w:rPr>
                <w:rFonts w:asciiTheme="majorBidi" w:hAnsiTheme="majorBidi" w:cstheme="majorBidi"/>
              </w:rPr>
            </w:pPr>
            <w:r w:rsidRPr="008E4182">
              <w:rPr>
                <w:rFonts w:asciiTheme="majorBidi" w:hAnsiTheme="majorBidi" w:cstheme="majorBidi"/>
              </w:rPr>
              <w:t xml:space="preserve">(Group B)  </w:t>
            </w:r>
          </w:p>
        </w:tc>
        <w:tc>
          <w:tcPr>
            <w:tcW w:w="2311" w:type="dxa"/>
            <w:gridSpan w:val="2"/>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Chronicity  </w:t>
            </w:r>
          </w:p>
        </w:tc>
        <w:tc>
          <w:tcPr>
            <w:tcW w:w="1974" w:type="dxa"/>
          </w:tcPr>
          <w:p w:rsidR="009A769D" w:rsidRPr="008E4182" w:rsidRDefault="009A769D" w:rsidP="00586431">
            <w:pPr>
              <w:spacing w:after="160" w:line="259" w:lineRule="auto"/>
              <w:ind w:left="0" w:firstLine="0"/>
              <w:jc w:val="left"/>
              <w:rPr>
                <w:rFonts w:asciiTheme="majorBidi" w:hAnsiTheme="majorBidi" w:cstheme="majorBidi"/>
              </w:rPr>
            </w:pPr>
          </w:p>
        </w:tc>
        <w:tc>
          <w:tcPr>
            <w:tcW w:w="1821" w:type="dxa"/>
          </w:tcPr>
          <w:p w:rsidR="009A769D" w:rsidRPr="008E4182" w:rsidRDefault="009A769D" w:rsidP="00586431">
            <w:pPr>
              <w:spacing w:after="160" w:line="259" w:lineRule="auto"/>
              <w:ind w:left="0" w:firstLine="0"/>
              <w:jc w:val="left"/>
              <w:rPr>
                <w:rFonts w:asciiTheme="majorBidi" w:hAnsiTheme="majorBidi" w:cstheme="majorBidi"/>
              </w:rPr>
            </w:pPr>
          </w:p>
        </w:tc>
      </w:tr>
      <w:tr w:rsidR="009A769D" w:rsidRPr="00EF594D" w:rsidTr="00586431">
        <w:trPr>
          <w:trHeight w:val="288"/>
        </w:trPr>
        <w:tc>
          <w:tcPr>
            <w:tcW w:w="0" w:type="auto"/>
            <w:vMerge/>
          </w:tcPr>
          <w:p w:rsidR="009A769D" w:rsidRPr="008E4182" w:rsidRDefault="009A769D" w:rsidP="00586431">
            <w:pPr>
              <w:spacing w:after="160" w:line="259" w:lineRule="auto"/>
              <w:ind w:left="0" w:firstLine="0"/>
              <w:jc w:val="left"/>
              <w:rPr>
                <w:rFonts w:asciiTheme="majorBidi" w:hAnsiTheme="majorBidi" w:cstheme="majorBidi"/>
              </w:rPr>
            </w:pPr>
          </w:p>
        </w:tc>
        <w:tc>
          <w:tcPr>
            <w:tcW w:w="992"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Cutoff </w:t>
            </w:r>
          </w:p>
        </w:tc>
        <w:tc>
          <w:tcPr>
            <w:tcW w:w="1319"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Sensitivity </w:t>
            </w:r>
          </w:p>
        </w:tc>
        <w:tc>
          <w:tcPr>
            <w:tcW w:w="1974" w:type="dxa"/>
          </w:tcPr>
          <w:p w:rsidR="009A769D" w:rsidRPr="008E4182" w:rsidRDefault="009A769D" w:rsidP="00586431">
            <w:pPr>
              <w:spacing w:after="0" w:line="259" w:lineRule="auto"/>
              <w:ind w:left="81" w:firstLine="0"/>
              <w:jc w:val="left"/>
              <w:rPr>
                <w:rFonts w:asciiTheme="majorBidi" w:hAnsiTheme="majorBidi" w:cstheme="majorBidi"/>
              </w:rPr>
            </w:pPr>
            <w:r w:rsidRPr="008E4182">
              <w:rPr>
                <w:rFonts w:asciiTheme="majorBidi" w:hAnsiTheme="majorBidi" w:cstheme="majorBidi"/>
              </w:rPr>
              <w:t xml:space="preserve">Specificity </w:t>
            </w:r>
          </w:p>
        </w:tc>
        <w:tc>
          <w:tcPr>
            <w:tcW w:w="1821"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AUC </w:t>
            </w:r>
          </w:p>
        </w:tc>
      </w:tr>
      <w:tr w:rsidR="009A769D" w:rsidRPr="00EF594D" w:rsidTr="00586431">
        <w:trPr>
          <w:trHeight w:val="562"/>
        </w:trPr>
        <w:tc>
          <w:tcPr>
            <w:tcW w:w="2264" w:type="dxa"/>
          </w:tcPr>
          <w:p w:rsidR="009A769D" w:rsidRPr="008E4182" w:rsidRDefault="009A769D" w:rsidP="00586431">
            <w:pPr>
              <w:spacing w:after="22" w:line="259" w:lineRule="auto"/>
              <w:ind w:left="82" w:firstLine="0"/>
              <w:jc w:val="left"/>
              <w:rPr>
                <w:rFonts w:asciiTheme="majorBidi" w:hAnsiTheme="majorBidi" w:cstheme="majorBidi"/>
              </w:rPr>
            </w:pPr>
            <w:r w:rsidRPr="008E4182">
              <w:rPr>
                <w:rFonts w:asciiTheme="majorBidi" w:hAnsiTheme="majorBidi" w:cstheme="majorBidi"/>
              </w:rPr>
              <w:t xml:space="preserve">C3 </w:t>
            </w:r>
          </w:p>
          <w:p w:rsidR="009A769D" w:rsidRPr="008E4182" w:rsidRDefault="009A769D" w:rsidP="00586431">
            <w:pPr>
              <w:spacing w:after="0" w:line="259" w:lineRule="auto"/>
              <w:ind w:left="82" w:firstLine="0"/>
              <w:jc w:val="left"/>
              <w:rPr>
                <w:rFonts w:asciiTheme="majorBidi" w:hAnsiTheme="majorBidi" w:cstheme="majorBidi"/>
              </w:rPr>
            </w:pPr>
            <w:r w:rsidRPr="008E4182">
              <w:rPr>
                <w:rFonts w:asciiTheme="majorBidi" w:hAnsiTheme="majorBidi" w:cstheme="majorBidi"/>
              </w:rPr>
              <w:t xml:space="preserve">(mg/dl) </w:t>
            </w:r>
          </w:p>
        </w:tc>
        <w:tc>
          <w:tcPr>
            <w:tcW w:w="992"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68 </w:t>
            </w:r>
          </w:p>
        </w:tc>
        <w:tc>
          <w:tcPr>
            <w:tcW w:w="1319"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72% </w:t>
            </w:r>
          </w:p>
        </w:tc>
        <w:tc>
          <w:tcPr>
            <w:tcW w:w="1974" w:type="dxa"/>
          </w:tcPr>
          <w:p w:rsidR="009A769D" w:rsidRPr="008E4182" w:rsidRDefault="009A769D" w:rsidP="00586431">
            <w:pPr>
              <w:spacing w:after="0" w:line="259" w:lineRule="auto"/>
              <w:ind w:left="81" w:firstLine="0"/>
              <w:jc w:val="left"/>
              <w:rPr>
                <w:rFonts w:asciiTheme="majorBidi" w:hAnsiTheme="majorBidi" w:cstheme="majorBidi"/>
              </w:rPr>
            </w:pPr>
            <w:r w:rsidRPr="008E4182">
              <w:rPr>
                <w:rFonts w:asciiTheme="majorBidi" w:hAnsiTheme="majorBidi" w:cstheme="majorBidi"/>
              </w:rPr>
              <w:t xml:space="preserve">44% </w:t>
            </w:r>
          </w:p>
        </w:tc>
        <w:tc>
          <w:tcPr>
            <w:tcW w:w="1821"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0.667 </w:t>
            </w:r>
          </w:p>
        </w:tc>
      </w:tr>
      <w:tr w:rsidR="009A769D" w:rsidRPr="00EF594D" w:rsidTr="00586431">
        <w:trPr>
          <w:trHeight w:val="288"/>
        </w:trPr>
        <w:tc>
          <w:tcPr>
            <w:tcW w:w="2264" w:type="dxa"/>
          </w:tcPr>
          <w:p w:rsidR="009A769D" w:rsidRPr="008E4182" w:rsidRDefault="009A769D" w:rsidP="00586431">
            <w:pPr>
              <w:spacing w:after="0" w:line="259" w:lineRule="auto"/>
              <w:ind w:left="82" w:firstLine="0"/>
              <w:jc w:val="left"/>
              <w:rPr>
                <w:rFonts w:asciiTheme="majorBidi" w:hAnsiTheme="majorBidi" w:cstheme="majorBidi"/>
              </w:rPr>
            </w:pPr>
            <w:r w:rsidRPr="008E4182">
              <w:rPr>
                <w:rFonts w:asciiTheme="majorBidi" w:hAnsiTheme="majorBidi" w:cstheme="majorBidi"/>
              </w:rPr>
              <w:t xml:space="preserve">Factor H (mg/l) </w:t>
            </w:r>
          </w:p>
        </w:tc>
        <w:tc>
          <w:tcPr>
            <w:tcW w:w="992"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51 </w:t>
            </w:r>
          </w:p>
        </w:tc>
        <w:tc>
          <w:tcPr>
            <w:tcW w:w="1319"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68% </w:t>
            </w:r>
          </w:p>
        </w:tc>
        <w:tc>
          <w:tcPr>
            <w:tcW w:w="1974" w:type="dxa"/>
          </w:tcPr>
          <w:p w:rsidR="009A769D" w:rsidRPr="008E4182" w:rsidRDefault="009A769D" w:rsidP="00586431">
            <w:pPr>
              <w:spacing w:after="0" w:line="259" w:lineRule="auto"/>
              <w:ind w:left="81" w:firstLine="0"/>
              <w:jc w:val="left"/>
              <w:rPr>
                <w:rFonts w:asciiTheme="majorBidi" w:hAnsiTheme="majorBidi" w:cstheme="majorBidi"/>
              </w:rPr>
            </w:pPr>
            <w:r w:rsidRPr="008E4182">
              <w:rPr>
                <w:rFonts w:asciiTheme="majorBidi" w:hAnsiTheme="majorBidi" w:cstheme="majorBidi"/>
              </w:rPr>
              <w:t xml:space="preserve">55% </w:t>
            </w:r>
          </w:p>
        </w:tc>
        <w:tc>
          <w:tcPr>
            <w:tcW w:w="1821"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0.606 </w:t>
            </w:r>
          </w:p>
        </w:tc>
      </w:tr>
      <w:tr w:rsidR="009A769D" w:rsidRPr="00EF594D" w:rsidTr="00586431">
        <w:trPr>
          <w:trHeight w:val="563"/>
        </w:trPr>
        <w:tc>
          <w:tcPr>
            <w:tcW w:w="2264" w:type="dxa"/>
          </w:tcPr>
          <w:p w:rsidR="009A769D" w:rsidRPr="008E4182" w:rsidRDefault="009A769D" w:rsidP="00586431">
            <w:pPr>
              <w:tabs>
                <w:tab w:val="right" w:pos="2196"/>
              </w:tabs>
              <w:spacing w:after="25" w:line="259" w:lineRule="auto"/>
              <w:ind w:left="0" w:firstLine="0"/>
              <w:jc w:val="left"/>
              <w:rPr>
                <w:rFonts w:asciiTheme="majorBidi" w:hAnsiTheme="majorBidi" w:cstheme="majorBidi"/>
              </w:rPr>
            </w:pPr>
            <w:r w:rsidRPr="008E4182">
              <w:rPr>
                <w:rFonts w:asciiTheme="majorBidi" w:hAnsiTheme="majorBidi" w:cstheme="majorBidi"/>
              </w:rPr>
              <w:t xml:space="preserve">Initial </w:t>
            </w:r>
            <w:r w:rsidRPr="008E4182">
              <w:rPr>
                <w:rFonts w:asciiTheme="majorBidi" w:hAnsiTheme="majorBidi" w:cstheme="majorBidi"/>
              </w:rPr>
              <w:tab/>
              <w:t xml:space="preserve">GFR </w:t>
            </w:r>
          </w:p>
          <w:p w:rsidR="009A769D" w:rsidRPr="008E4182" w:rsidRDefault="009A769D" w:rsidP="00586431">
            <w:pPr>
              <w:spacing w:after="0" w:line="259" w:lineRule="auto"/>
              <w:ind w:left="82" w:firstLine="0"/>
              <w:jc w:val="left"/>
              <w:rPr>
                <w:rFonts w:asciiTheme="majorBidi" w:hAnsiTheme="majorBidi" w:cstheme="majorBidi"/>
              </w:rPr>
            </w:pPr>
            <w:r w:rsidRPr="008E4182">
              <w:rPr>
                <w:rFonts w:asciiTheme="majorBidi" w:hAnsiTheme="majorBidi" w:cstheme="majorBidi"/>
              </w:rPr>
              <w:t xml:space="preserve">(ml/min/1.73m2) </w:t>
            </w:r>
          </w:p>
        </w:tc>
        <w:tc>
          <w:tcPr>
            <w:tcW w:w="992"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12.5 </w:t>
            </w:r>
          </w:p>
        </w:tc>
        <w:tc>
          <w:tcPr>
            <w:tcW w:w="1319"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72% </w:t>
            </w:r>
          </w:p>
        </w:tc>
        <w:tc>
          <w:tcPr>
            <w:tcW w:w="1974" w:type="dxa"/>
          </w:tcPr>
          <w:p w:rsidR="009A769D" w:rsidRPr="008E4182" w:rsidRDefault="009A769D" w:rsidP="00586431">
            <w:pPr>
              <w:spacing w:after="0" w:line="259" w:lineRule="auto"/>
              <w:ind w:left="81" w:firstLine="0"/>
              <w:jc w:val="left"/>
              <w:rPr>
                <w:rFonts w:asciiTheme="majorBidi" w:hAnsiTheme="majorBidi" w:cstheme="majorBidi"/>
              </w:rPr>
            </w:pPr>
            <w:r w:rsidRPr="008E4182">
              <w:rPr>
                <w:rFonts w:asciiTheme="majorBidi" w:hAnsiTheme="majorBidi" w:cstheme="majorBidi"/>
              </w:rPr>
              <w:t xml:space="preserve">33% </w:t>
            </w:r>
          </w:p>
        </w:tc>
        <w:tc>
          <w:tcPr>
            <w:tcW w:w="1821" w:type="dxa"/>
          </w:tcPr>
          <w:p w:rsidR="009A769D" w:rsidRPr="008E4182" w:rsidRDefault="009A769D" w:rsidP="00586431">
            <w:pPr>
              <w:spacing w:after="0" w:line="259" w:lineRule="auto"/>
              <w:ind w:left="76" w:firstLine="0"/>
              <w:jc w:val="left"/>
              <w:rPr>
                <w:rFonts w:asciiTheme="majorBidi" w:hAnsiTheme="majorBidi" w:cstheme="majorBidi"/>
              </w:rPr>
            </w:pPr>
            <w:r w:rsidRPr="008E4182">
              <w:rPr>
                <w:rFonts w:asciiTheme="majorBidi" w:hAnsiTheme="majorBidi" w:cstheme="majorBidi"/>
              </w:rPr>
              <w:t xml:space="preserve">0.667 </w:t>
            </w:r>
          </w:p>
        </w:tc>
      </w:tr>
    </w:tbl>
    <w:p w:rsidR="009A769D" w:rsidRDefault="009A769D" w:rsidP="009A769D">
      <w:pPr>
        <w:spacing w:after="0" w:line="259" w:lineRule="auto"/>
        <w:ind w:left="39"/>
        <w:jc w:val="left"/>
        <w:rPr>
          <w:rFonts w:asciiTheme="majorBidi" w:hAnsiTheme="majorBidi" w:cstheme="majorBidi"/>
          <w:b/>
        </w:rPr>
      </w:pPr>
    </w:p>
    <w:p w:rsidR="009A769D" w:rsidRPr="008E4182" w:rsidRDefault="009A769D" w:rsidP="009A769D">
      <w:pPr>
        <w:spacing w:after="0" w:line="259" w:lineRule="auto"/>
        <w:ind w:left="39"/>
        <w:jc w:val="left"/>
        <w:rPr>
          <w:rFonts w:asciiTheme="majorBidi" w:hAnsiTheme="majorBidi" w:cstheme="majorBidi"/>
        </w:rPr>
      </w:pPr>
      <w:r w:rsidRPr="008E4182">
        <w:rPr>
          <w:rFonts w:asciiTheme="majorBidi" w:hAnsiTheme="majorBidi" w:cstheme="majorBidi"/>
          <w:b/>
        </w:rPr>
        <w:t>4</w:t>
      </w:r>
      <w:bookmarkStart w:id="3" w:name="_Hlk219953498"/>
      <w:r w:rsidRPr="008E4182">
        <w:rPr>
          <w:rFonts w:asciiTheme="majorBidi" w:hAnsiTheme="majorBidi" w:cstheme="majorBidi"/>
          <w:b/>
        </w:rPr>
        <w:t xml:space="preserve">.Discussion </w:t>
      </w:r>
    </w:p>
    <w:p w:rsidR="009A769D" w:rsidRPr="008E4182" w:rsidRDefault="009A769D" w:rsidP="00B7524F">
      <w:pPr>
        <w:spacing w:before="120" w:after="240" w:line="240" w:lineRule="auto"/>
        <w:ind w:left="0" w:firstLine="0"/>
        <w:rPr>
          <w:rFonts w:asciiTheme="majorBidi" w:hAnsiTheme="majorBidi" w:cstheme="majorBidi"/>
          <w:color w:val="auto"/>
          <w:kern w:val="0"/>
          <w14:ligatures w14:val="none"/>
        </w:rPr>
      </w:pPr>
      <w:r w:rsidRPr="008E4182">
        <w:rPr>
          <w:rFonts w:asciiTheme="majorBidi" w:hAnsiTheme="majorBidi" w:cstheme="majorBidi"/>
          <w:color w:val="auto"/>
          <w:kern w:val="0"/>
          <w14:ligatures w14:val="none"/>
        </w:rPr>
        <w:t xml:space="preserve">The present study included 43 children diagnosed with HUS, with a clear male predominance (29 males, 67.4%) compared to females (14 cases, 32.6%). This finding is consistent with </w:t>
      </w:r>
      <w:proofErr w:type="spellStart"/>
      <w:r w:rsidRPr="008E4182">
        <w:rPr>
          <w:rFonts w:asciiTheme="majorBidi" w:hAnsiTheme="majorBidi" w:cstheme="majorBidi"/>
          <w:b/>
          <w:bCs/>
          <w:color w:val="auto"/>
          <w:kern w:val="0"/>
          <w14:ligatures w14:val="none"/>
        </w:rPr>
        <w:t>ZamZam</w:t>
      </w:r>
      <w:proofErr w:type="spellEnd"/>
      <w:r w:rsidRPr="008E4182">
        <w:rPr>
          <w:rFonts w:asciiTheme="majorBidi" w:hAnsiTheme="majorBidi" w:cstheme="majorBidi"/>
          <w:b/>
          <w:bCs/>
          <w:color w:val="auto"/>
          <w:kern w:val="0"/>
          <w14:ligatures w14:val="none"/>
        </w:rPr>
        <w:t xml:space="preserve"> et al. </w:t>
      </w:r>
      <w:r w:rsidRPr="008E4182">
        <w:rPr>
          <w:rFonts w:asciiTheme="majorBidi" w:hAnsiTheme="majorBidi" w:cstheme="majorBidi"/>
          <w:b/>
          <w:bCs/>
          <w:color w:val="365F91" w:themeColor="accent1" w:themeShade="BF"/>
          <w:kern w:val="0"/>
          <w14:ligatures w14:val="none"/>
        </w:rPr>
        <w:t>(13)</w:t>
      </w:r>
      <w:r w:rsidRPr="008E4182">
        <w:rPr>
          <w:rFonts w:asciiTheme="majorBidi" w:hAnsiTheme="majorBidi" w:cstheme="majorBidi"/>
          <w:b/>
          <w:bCs/>
          <w:color w:val="auto"/>
          <w:kern w:val="0"/>
          <w14:ligatures w14:val="none"/>
        </w:rPr>
        <w:t>,</w:t>
      </w:r>
      <w:r w:rsidRPr="008E4182">
        <w:rPr>
          <w:rFonts w:asciiTheme="majorBidi" w:hAnsiTheme="majorBidi" w:cstheme="majorBidi"/>
          <w:color w:val="auto"/>
          <w:kern w:val="0"/>
          <w14:ligatures w14:val="none"/>
        </w:rPr>
        <w:t xml:space="preserve"> who reported a male predominance of 74%, while </w:t>
      </w:r>
      <w:proofErr w:type="spellStart"/>
      <w:r w:rsidRPr="008E4182">
        <w:rPr>
          <w:rFonts w:asciiTheme="majorBidi" w:hAnsiTheme="majorBidi" w:cstheme="majorBidi"/>
          <w:color w:val="auto"/>
          <w:kern w:val="0"/>
          <w14:ligatures w14:val="none"/>
        </w:rPr>
        <w:t>Micheletti</w:t>
      </w:r>
      <w:proofErr w:type="spellEnd"/>
      <w:r w:rsidRPr="008E4182">
        <w:rPr>
          <w:rFonts w:asciiTheme="majorBidi" w:hAnsiTheme="majorBidi" w:cstheme="majorBidi"/>
          <w:color w:val="auto"/>
          <w:kern w:val="0"/>
          <w14:ligatures w14:val="none"/>
        </w:rPr>
        <w:t xml:space="preserve"> et al. reported female predominance (64%), indicating variability among different populations.</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Analysis of HUS subtypes in our cohort showed that typical HUS accounted for 53.5% (23 cases), while atypical HUS represented 46.5% (20 cases). These findings are comparable to </w:t>
      </w:r>
      <w:proofErr w:type="spellStart"/>
      <w:r w:rsidRPr="008E4182">
        <w:rPr>
          <w:rFonts w:asciiTheme="majorBidi" w:hAnsiTheme="majorBidi" w:cstheme="majorBidi"/>
          <w:b/>
          <w:bCs/>
        </w:rPr>
        <w:t>Sarac</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(14)</w:t>
      </w:r>
      <w:r w:rsidRPr="008E4182">
        <w:rPr>
          <w:rFonts w:asciiTheme="majorBidi" w:hAnsiTheme="majorBidi" w:cstheme="majorBidi"/>
          <w:b/>
          <w:bCs/>
        </w:rPr>
        <w:t>,</w:t>
      </w:r>
      <w:r w:rsidRPr="008E4182">
        <w:rPr>
          <w:rFonts w:asciiTheme="majorBidi" w:hAnsiTheme="majorBidi" w:cstheme="majorBidi"/>
        </w:rPr>
        <w:t xml:space="preserve"> who reported 63.3% typical and 36.7% atypical cases. However, earlier studies such as </w:t>
      </w:r>
      <w:r w:rsidRPr="008E4182">
        <w:rPr>
          <w:rFonts w:asciiTheme="majorBidi" w:hAnsiTheme="majorBidi" w:cstheme="majorBidi"/>
          <w:b/>
          <w:bCs/>
        </w:rPr>
        <w:t>Elliott et al.</w:t>
      </w:r>
      <w:r w:rsidRPr="008E4182">
        <w:rPr>
          <w:rFonts w:asciiTheme="majorBidi" w:hAnsiTheme="majorBidi" w:cstheme="majorBidi"/>
          <w:b/>
          <w:bCs/>
          <w:color w:val="365F91" w:themeColor="accent1" w:themeShade="BF"/>
        </w:rPr>
        <w:t>(15)</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reported a much higher prevalence of typical HUS (86%). The increased proportion of atypical HUS in our study may be explained by improved diagnostic capabilities and wider availability of genetic testing.</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The age of presentation in our cohort ranged from 6 months to 13 years, with a mean age of 24 months. This is comparable to </w:t>
      </w:r>
      <w:proofErr w:type="spellStart"/>
      <w:r w:rsidRPr="008E4182">
        <w:rPr>
          <w:rFonts w:asciiTheme="majorBidi" w:hAnsiTheme="majorBidi" w:cstheme="majorBidi"/>
          <w:b/>
          <w:bCs/>
        </w:rPr>
        <w:t>Gehad</w:t>
      </w:r>
      <w:proofErr w:type="spellEnd"/>
      <w:r w:rsidRPr="008E4182">
        <w:rPr>
          <w:rFonts w:asciiTheme="majorBidi" w:hAnsiTheme="majorBidi" w:cstheme="majorBidi"/>
          <w:b/>
          <w:bCs/>
        </w:rPr>
        <w:t xml:space="preserve"> et al.</w:t>
      </w:r>
      <w:r w:rsidRPr="008E4182">
        <w:rPr>
          <w:rFonts w:asciiTheme="majorBidi" w:hAnsiTheme="majorBidi" w:cstheme="majorBidi"/>
          <w:b/>
          <w:bCs/>
          <w:color w:val="365F91" w:themeColor="accent1" w:themeShade="BF"/>
        </w:rPr>
        <w:t>(16),</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who reported a mean age of 4.7 years. Children with typical HUS (group A) were significantly younger than those with atypical HUS (group B) (p &lt; 0.001), in agreement with </w:t>
      </w:r>
      <w:proofErr w:type="spellStart"/>
      <w:r w:rsidRPr="008E4182">
        <w:rPr>
          <w:rFonts w:asciiTheme="majorBidi" w:hAnsiTheme="majorBidi" w:cstheme="majorBidi"/>
          <w:b/>
          <w:bCs/>
        </w:rPr>
        <w:t>Zagozdzon</w:t>
      </w:r>
      <w:proofErr w:type="spellEnd"/>
      <w:r w:rsidRPr="008E4182">
        <w:rPr>
          <w:rFonts w:asciiTheme="majorBidi" w:hAnsiTheme="majorBidi" w:cstheme="majorBidi"/>
          <w:b/>
          <w:bCs/>
        </w:rPr>
        <w:t xml:space="preserve"> et al</w:t>
      </w:r>
      <w:r w:rsidRPr="008E4182">
        <w:rPr>
          <w:rFonts w:asciiTheme="majorBidi" w:hAnsiTheme="majorBidi" w:cstheme="majorBidi"/>
          <w:b/>
          <w:bCs/>
          <w:color w:val="365F91" w:themeColor="accent1" w:themeShade="BF"/>
        </w:rPr>
        <w:t>.(17),</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although </w:t>
      </w:r>
      <w:proofErr w:type="spellStart"/>
      <w:r w:rsidRPr="008E4182">
        <w:rPr>
          <w:rFonts w:asciiTheme="majorBidi" w:hAnsiTheme="majorBidi" w:cstheme="majorBidi"/>
          <w:b/>
          <w:bCs/>
        </w:rPr>
        <w:t>Vaterodt</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(18)</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reported no significant age difference between STEC-HUS and non-STEC-HUS.</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Clinical presentation in our study was variable. Fever (88%) and vomiting (81%) were the most common presenting symptoms, followed by renal manifestations including hypertension (76%), edema (72%), and oliguria (66%). </w:t>
      </w:r>
      <w:proofErr w:type="spellStart"/>
      <w:r w:rsidRPr="008E4182">
        <w:rPr>
          <w:rFonts w:asciiTheme="majorBidi" w:hAnsiTheme="majorBidi" w:cstheme="majorBidi"/>
          <w:b/>
          <w:bCs/>
        </w:rPr>
        <w:t>Gehad</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(16)</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reported lower frequencies of vomiting (64.4%), fever (54.2%), and oliguria (45.8%). Bloody diarrhea was strongly associated with typical HUS in our cohort (92% vs. 0%, p &lt; </w:t>
      </w:r>
      <w:r w:rsidRPr="008E4182">
        <w:rPr>
          <w:rFonts w:asciiTheme="majorBidi" w:hAnsiTheme="majorBidi" w:cstheme="majorBidi"/>
        </w:rPr>
        <w:lastRenderedPageBreak/>
        <w:t xml:space="preserve">0.001), along with fever and dehydration (p &lt; 0.05). Nevertheless, </w:t>
      </w:r>
      <w:proofErr w:type="spellStart"/>
      <w:r w:rsidRPr="008E4182">
        <w:rPr>
          <w:rFonts w:asciiTheme="majorBidi" w:hAnsiTheme="majorBidi" w:cstheme="majorBidi"/>
          <w:b/>
          <w:bCs/>
        </w:rPr>
        <w:t>Noris</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(19)</w:t>
      </w:r>
      <w:r w:rsidRPr="008E4182">
        <w:rPr>
          <w:rFonts w:asciiTheme="majorBidi" w:hAnsiTheme="majorBidi" w:cstheme="majorBidi"/>
          <w:b/>
          <w:bCs/>
        </w:rPr>
        <w:t>,</w:t>
      </w:r>
      <w:r w:rsidRPr="008E4182">
        <w:rPr>
          <w:rFonts w:asciiTheme="majorBidi" w:hAnsiTheme="majorBidi" w:cstheme="majorBidi"/>
        </w:rPr>
        <w:t xml:space="preserve"> emphasized that 10–20% of STEC-HUS cases may present without overt diarrhea, particularly in young infants or delayed presentation.</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Hypertension was common in both groups in our study with no significant difference, against results of </w:t>
      </w:r>
      <w:r w:rsidRPr="008E4182">
        <w:rPr>
          <w:rFonts w:asciiTheme="majorBidi" w:hAnsiTheme="majorBidi" w:cstheme="majorBidi"/>
          <w:b/>
          <w:bCs/>
        </w:rPr>
        <w:t xml:space="preserve">Raina et al. </w:t>
      </w:r>
      <w:r w:rsidRPr="008E4182">
        <w:rPr>
          <w:rFonts w:asciiTheme="majorBidi" w:hAnsiTheme="majorBidi" w:cstheme="majorBidi"/>
          <w:b/>
          <w:bCs/>
          <w:color w:val="365F91" w:themeColor="accent1" w:themeShade="BF"/>
        </w:rPr>
        <w:t xml:space="preserve">(20) </w:t>
      </w:r>
      <w:r w:rsidRPr="008E4182">
        <w:rPr>
          <w:rFonts w:asciiTheme="majorBidi" w:hAnsiTheme="majorBidi" w:cstheme="majorBidi"/>
          <w:b/>
          <w:bCs/>
        </w:rPr>
        <w:t>and</w:t>
      </w:r>
      <w:r w:rsidRPr="008E4182">
        <w:rPr>
          <w:rFonts w:asciiTheme="majorBidi" w:hAnsiTheme="majorBidi" w:cstheme="majorBidi"/>
          <w:b/>
        </w:rPr>
        <w:t xml:space="preserve"> </w:t>
      </w:r>
      <w:proofErr w:type="spellStart"/>
      <w:r w:rsidRPr="008E4182">
        <w:rPr>
          <w:rFonts w:asciiTheme="majorBidi" w:hAnsiTheme="majorBidi" w:cstheme="majorBidi"/>
          <w:b/>
        </w:rPr>
        <w:t>Fakhouri</w:t>
      </w:r>
      <w:proofErr w:type="spellEnd"/>
      <w:r w:rsidRPr="008E4182">
        <w:rPr>
          <w:rFonts w:asciiTheme="majorBidi" w:hAnsiTheme="majorBidi" w:cstheme="majorBidi"/>
          <w:b/>
        </w:rPr>
        <w:t xml:space="preserve"> et al.</w:t>
      </w:r>
      <w:r>
        <w:rPr>
          <w:rFonts w:asciiTheme="majorBidi" w:hAnsiTheme="majorBidi" w:cstheme="majorBidi"/>
          <w:b/>
        </w:rPr>
        <w:t xml:space="preserve"> </w:t>
      </w:r>
      <w:r w:rsidRPr="008E4182">
        <w:rPr>
          <w:rFonts w:asciiTheme="majorBidi" w:hAnsiTheme="majorBidi" w:cstheme="majorBidi"/>
          <w:b/>
          <w:color w:val="365F91" w:themeColor="accent1" w:themeShade="BF"/>
        </w:rPr>
        <w:t>(21)</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that emphasized that persistent hypertension is a characteristic feature of </w:t>
      </w:r>
      <w:proofErr w:type="spellStart"/>
      <w:r w:rsidRPr="008E4182">
        <w:rPr>
          <w:rFonts w:asciiTheme="majorBidi" w:hAnsiTheme="majorBidi" w:cstheme="majorBidi"/>
        </w:rPr>
        <w:t>aHUS</w:t>
      </w:r>
      <w:proofErr w:type="spellEnd"/>
      <w:r w:rsidRPr="008E4182">
        <w:rPr>
          <w:rFonts w:asciiTheme="majorBidi" w:hAnsiTheme="majorBidi" w:cstheme="majorBidi"/>
        </w:rPr>
        <w:t xml:space="preserve"> and  may continue even after apparent hematological recovery on the other hand  ,Edema was significantly more frequent in atypical HUS cases, consistent with </w:t>
      </w:r>
      <w:proofErr w:type="spellStart"/>
      <w:r w:rsidRPr="008E4182">
        <w:rPr>
          <w:rFonts w:asciiTheme="majorBidi" w:hAnsiTheme="majorBidi" w:cstheme="majorBidi"/>
          <w:b/>
          <w:bCs/>
        </w:rPr>
        <w:t>Noris</w:t>
      </w:r>
      <w:proofErr w:type="spellEnd"/>
      <w:r w:rsidRPr="008E4182">
        <w:rPr>
          <w:rFonts w:asciiTheme="majorBidi" w:hAnsiTheme="majorBidi" w:cstheme="majorBidi"/>
          <w:b/>
          <w:bCs/>
        </w:rPr>
        <w:t xml:space="preserve"> et al</w:t>
      </w:r>
      <w:r w:rsidRPr="008E4182">
        <w:rPr>
          <w:rFonts w:asciiTheme="majorBidi" w:hAnsiTheme="majorBidi" w:cstheme="majorBidi"/>
        </w:rPr>
        <w:t>.</w:t>
      </w:r>
      <w:r>
        <w:rPr>
          <w:rFonts w:asciiTheme="majorBidi" w:hAnsiTheme="majorBidi" w:cstheme="majorBidi"/>
        </w:rPr>
        <w:t xml:space="preserve"> </w:t>
      </w:r>
      <w:r w:rsidRPr="008E4182">
        <w:rPr>
          <w:rFonts w:asciiTheme="majorBidi" w:hAnsiTheme="majorBidi" w:cstheme="majorBidi"/>
          <w:color w:val="365F91" w:themeColor="accent1" w:themeShade="BF"/>
        </w:rPr>
        <w:t>(</w:t>
      </w:r>
      <w:r w:rsidRPr="008E4182">
        <w:rPr>
          <w:rFonts w:asciiTheme="majorBidi" w:hAnsiTheme="majorBidi" w:cstheme="majorBidi"/>
          <w:b/>
          <w:bCs/>
          <w:color w:val="365F91" w:themeColor="accent1" w:themeShade="BF"/>
        </w:rPr>
        <w:t>19</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reflecting more severe complement-mediated glomerular injury in a-HUS.</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Neurological involvement, including seizures or decreased level of consciousness, was observed in approximately 35% of patients, with no significant difference between groups. This contrasts with </w:t>
      </w:r>
      <w:proofErr w:type="spellStart"/>
      <w:r w:rsidRPr="008E4182">
        <w:rPr>
          <w:rFonts w:asciiTheme="majorBidi" w:hAnsiTheme="majorBidi" w:cstheme="majorBidi"/>
          <w:b/>
          <w:bCs/>
        </w:rPr>
        <w:t>Epitaleta</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(22)</w:t>
      </w:r>
      <w:r w:rsidRPr="008E4182">
        <w:rPr>
          <w:rFonts w:asciiTheme="majorBidi" w:hAnsiTheme="majorBidi" w:cstheme="majorBidi"/>
          <w:b/>
          <w:bCs/>
        </w:rPr>
        <w:t>,</w:t>
      </w:r>
      <w:r w:rsidRPr="008E4182">
        <w:rPr>
          <w:rFonts w:asciiTheme="majorBidi" w:hAnsiTheme="majorBidi" w:cstheme="majorBidi"/>
        </w:rPr>
        <w:t xml:space="preserve"> who reported higher CNS involvement in atypical HUS, while </w:t>
      </w:r>
      <w:proofErr w:type="spellStart"/>
      <w:r w:rsidRPr="008E4182">
        <w:rPr>
          <w:rFonts w:asciiTheme="majorBidi" w:hAnsiTheme="majorBidi" w:cstheme="majorBidi"/>
          <w:b/>
          <w:bCs/>
        </w:rPr>
        <w:t>Bockenhaur</w:t>
      </w:r>
      <w:proofErr w:type="spellEnd"/>
      <w:r w:rsidRPr="008E4182">
        <w:rPr>
          <w:rFonts w:asciiTheme="majorBidi" w:hAnsiTheme="majorBidi" w:cstheme="majorBidi"/>
        </w:rPr>
        <w:t xml:space="preserve"> </w:t>
      </w:r>
      <w:r w:rsidRPr="008E4182">
        <w:rPr>
          <w:rFonts w:asciiTheme="majorBidi" w:hAnsiTheme="majorBidi" w:cstheme="majorBidi"/>
          <w:b/>
          <w:bCs/>
        </w:rPr>
        <w:t>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(23)</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found CNS manifestations to be more common in STEC-HUS during the acute phase attributing the direct neurotoxic effect of Shiga toxin or systemic inflammatory response commonly  seen in STEC type.</w:t>
      </w:r>
    </w:p>
    <w:p w:rsidR="009A769D" w:rsidRPr="008E4182" w:rsidRDefault="009A769D" w:rsidP="00B7524F">
      <w:pPr>
        <w:spacing w:before="120" w:after="240" w:line="240" w:lineRule="auto"/>
        <w:ind w:left="0" w:firstLine="0"/>
        <w:rPr>
          <w:rFonts w:asciiTheme="majorBidi" w:hAnsiTheme="majorBidi" w:cstheme="majorBidi"/>
        </w:rPr>
      </w:pPr>
      <w:r w:rsidRPr="008E4182">
        <w:rPr>
          <w:rFonts w:asciiTheme="majorBidi" w:hAnsiTheme="majorBidi" w:cstheme="majorBidi"/>
        </w:rPr>
        <w:t xml:space="preserve"> The results of initial laboratory findings showed no significant difference in hemoglobin, platelet count, TLC or LDH between both  groups, consistent with </w:t>
      </w:r>
      <w:r w:rsidRPr="008E4182">
        <w:rPr>
          <w:rFonts w:asciiTheme="majorBidi" w:hAnsiTheme="majorBidi" w:cstheme="majorBidi"/>
          <w:b/>
          <w:bCs/>
        </w:rPr>
        <w:t>Raina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(20)</w:t>
      </w:r>
      <w:r w:rsidRPr="008E4182">
        <w:rPr>
          <w:rFonts w:asciiTheme="majorBidi" w:hAnsiTheme="majorBidi" w:cstheme="majorBidi"/>
        </w:rPr>
        <w:t>. , while in contrast to</w:t>
      </w:r>
      <w:r w:rsidRPr="008E4182">
        <w:rPr>
          <w:rFonts w:asciiTheme="majorBidi" w:hAnsiTheme="majorBidi" w:cstheme="majorBidi"/>
          <w:b/>
        </w:rPr>
        <w:t xml:space="preserve"> </w:t>
      </w:r>
      <w:proofErr w:type="spellStart"/>
      <w:r w:rsidRPr="008E4182">
        <w:rPr>
          <w:rFonts w:asciiTheme="majorBidi" w:hAnsiTheme="majorBidi" w:cstheme="majorBidi"/>
          <w:b/>
        </w:rPr>
        <w:t>Netti</w:t>
      </w:r>
      <w:proofErr w:type="spellEnd"/>
      <w:r w:rsidRPr="008E4182">
        <w:rPr>
          <w:rFonts w:asciiTheme="majorBidi" w:hAnsiTheme="majorBidi" w:cstheme="majorBidi"/>
          <w:b/>
        </w:rPr>
        <w:t xml:space="preserve"> GS et al.</w:t>
      </w:r>
      <w:r>
        <w:rPr>
          <w:rFonts w:asciiTheme="majorBidi" w:hAnsiTheme="majorBidi" w:cstheme="majorBidi"/>
          <w:b/>
        </w:rPr>
        <w:t xml:space="preserve"> </w:t>
      </w:r>
      <w:r w:rsidRPr="008E4182">
        <w:rPr>
          <w:rFonts w:asciiTheme="majorBidi" w:hAnsiTheme="majorBidi" w:cstheme="majorBidi"/>
          <w:b/>
          <w:color w:val="365F91" w:themeColor="accent1" w:themeShade="BF"/>
        </w:rPr>
        <w:t>(24</w:t>
      </w:r>
      <w:r w:rsidRPr="008E4182">
        <w:rPr>
          <w:rFonts w:asciiTheme="majorBidi" w:hAnsiTheme="majorBidi" w:cstheme="majorBidi"/>
          <w:color w:val="365F91" w:themeColor="accent1" w:themeShade="BF"/>
        </w:rPr>
        <w:t>)</w:t>
      </w:r>
      <w:r w:rsidRPr="008E4182">
        <w:rPr>
          <w:rFonts w:asciiTheme="majorBidi" w:hAnsiTheme="majorBidi" w:cstheme="majorBidi"/>
        </w:rPr>
        <w:t>, who observed higher level of hemoglobin in di</w:t>
      </w:r>
      <w:r w:rsidR="00A44688">
        <w:rPr>
          <w:rFonts w:asciiTheme="majorBidi" w:hAnsiTheme="majorBidi" w:cstheme="majorBidi"/>
        </w:rPr>
        <w:t xml:space="preserve">arrhea positive HUS related to </w:t>
      </w:r>
      <w:proofErr w:type="spellStart"/>
      <w:r w:rsidR="00A44688">
        <w:rPr>
          <w:rFonts w:asciiTheme="majorBidi" w:hAnsiTheme="majorBidi" w:cstheme="majorBidi"/>
        </w:rPr>
        <w:t>hemo</w:t>
      </w:r>
      <w:r w:rsidRPr="008E4182">
        <w:rPr>
          <w:rFonts w:asciiTheme="majorBidi" w:hAnsiTheme="majorBidi" w:cstheme="majorBidi"/>
        </w:rPr>
        <w:t>concentration</w:t>
      </w:r>
      <w:proofErr w:type="spellEnd"/>
      <w:r w:rsidRPr="008E4182">
        <w:rPr>
          <w:rFonts w:asciiTheme="majorBidi" w:hAnsiTheme="majorBidi" w:cstheme="majorBidi"/>
        </w:rPr>
        <w:t xml:space="preserve"> and dehydration compared to atypical cases. </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 However, patients with atypical HUS demonstrated significantly delayed hematological recovery compared to typical HUS, in agreement with </w:t>
      </w:r>
      <w:proofErr w:type="spellStart"/>
      <w:r w:rsidRPr="008E4182">
        <w:rPr>
          <w:rFonts w:asciiTheme="majorBidi" w:hAnsiTheme="majorBidi" w:cstheme="majorBidi"/>
          <w:b/>
          <w:bCs/>
        </w:rPr>
        <w:t>Fakhouri</w:t>
      </w:r>
      <w:proofErr w:type="spellEnd"/>
      <w:r w:rsidRPr="008E4182">
        <w:rPr>
          <w:rFonts w:asciiTheme="majorBidi" w:hAnsiTheme="majorBidi" w:cstheme="majorBidi"/>
          <w:b/>
          <w:bCs/>
        </w:rPr>
        <w:t xml:space="preserve"> et al</w:t>
      </w:r>
      <w:r w:rsidRPr="008E4182">
        <w:rPr>
          <w:rFonts w:asciiTheme="majorBidi" w:hAnsiTheme="majorBidi" w:cstheme="majorBidi"/>
          <w:b/>
          <w:bCs/>
          <w:color w:val="365F91" w:themeColor="accent1" w:themeShade="BF"/>
        </w:rPr>
        <w:t>.(21)</w:t>
      </w:r>
      <w:r w:rsidRPr="008E4182">
        <w:rPr>
          <w:rFonts w:asciiTheme="majorBidi" w:hAnsiTheme="majorBidi" w:cstheme="majorBidi"/>
          <w:b/>
          <w:bCs/>
        </w:rPr>
        <w:t xml:space="preserve"> and </w:t>
      </w:r>
      <w:proofErr w:type="spellStart"/>
      <w:r w:rsidRPr="008E4182">
        <w:rPr>
          <w:rFonts w:asciiTheme="majorBidi" w:hAnsiTheme="majorBidi" w:cstheme="majorBidi"/>
          <w:b/>
          <w:bCs/>
        </w:rPr>
        <w:t>Brocklebank</w:t>
      </w:r>
      <w:proofErr w:type="spellEnd"/>
      <w:r w:rsidRPr="008E4182">
        <w:rPr>
          <w:rFonts w:asciiTheme="majorBidi" w:hAnsiTheme="majorBidi" w:cstheme="majorBidi"/>
          <w:b/>
          <w:bCs/>
        </w:rPr>
        <w:t xml:space="preserve"> et al</w:t>
      </w:r>
      <w:r w:rsidRPr="008E4182">
        <w:rPr>
          <w:rFonts w:asciiTheme="majorBidi" w:hAnsiTheme="majorBidi" w:cstheme="majorBidi"/>
          <w:b/>
          <w:bCs/>
          <w:color w:val="365F91" w:themeColor="accent1" w:themeShade="BF"/>
        </w:rPr>
        <w:t>.(25)</w:t>
      </w:r>
      <w:r w:rsidRPr="008E4182">
        <w:rPr>
          <w:rFonts w:asciiTheme="majorBidi" w:hAnsiTheme="majorBidi" w:cstheme="majorBidi"/>
          <w:b/>
          <w:bCs/>
        </w:rPr>
        <w:t>,</w:t>
      </w:r>
      <w:r w:rsidRPr="008E4182">
        <w:rPr>
          <w:rFonts w:asciiTheme="majorBidi" w:hAnsiTheme="majorBidi" w:cstheme="majorBidi"/>
        </w:rPr>
        <w:t xml:space="preserve"> that  emphasized that hematological remission in a-</w:t>
      </w:r>
      <w:proofErr w:type="spellStart"/>
      <w:r w:rsidRPr="008E4182">
        <w:rPr>
          <w:rFonts w:asciiTheme="majorBidi" w:hAnsiTheme="majorBidi" w:cstheme="majorBidi"/>
        </w:rPr>
        <w:t>hus</w:t>
      </w:r>
      <w:proofErr w:type="spellEnd"/>
      <w:r w:rsidRPr="008E4182">
        <w:rPr>
          <w:rFonts w:asciiTheme="majorBidi" w:hAnsiTheme="majorBidi" w:cstheme="majorBidi"/>
        </w:rPr>
        <w:t xml:space="preserve"> is prolonged and often treatment dependent whereas in typical HUS occur spontaneously once infection resolve,  although </w:t>
      </w:r>
      <w:r w:rsidRPr="008E4182">
        <w:rPr>
          <w:rFonts w:asciiTheme="majorBidi" w:hAnsiTheme="majorBidi" w:cstheme="majorBidi"/>
          <w:b/>
          <w:bCs/>
        </w:rPr>
        <w:t>Kavanagh et al</w:t>
      </w:r>
      <w:r w:rsidRPr="008E4182">
        <w:rPr>
          <w:rFonts w:asciiTheme="majorBidi" w:hAnsiTheme="majorBidi" w:cstheme="majorBidi"/>
          <w:b/>
          <w:bCs/>
          <w:color w:val="365F91" w:themeColor="accent1" w:themeShade="BF"/>
        </w:rPr>
        <w:t>.(26)</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reported early platelet normalization in some atypical even with active renal disease.</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Low C3 levels were more commonly observed in atypical HUS, supporting findings by </w:t>
      </w:r>
      <w:proofErr w:type="spellStart"/>
      <w:r w:rsidRPr="008E4182">
        <w:rPr>
          <w:rFonts w:asciiTheme="majorBidi" w:hAnsiTheme="majorBidi" w:cstheme="majorBidi"/>
          <w:b/>
          <w:bCs/>
        </w:rPr>
        <w:t>Goodship</w:t>
      </w:r>
      <w:proofErr w:type="spellEnd"/>
      <w:r w:rsidRPr="008E4182">
        <w:rPr>
          <w:rFonts w:asciiTheme="majorBidi" w:hAnsiTheme="majorBidi" w:cstheme="majorBidi"/>
          <w:b/>
          <w:bCs/>
        </w:rPr>
        <w:t xml:space="preserve"> et al</w:t>
      </w:r>
      <w:r w:rsidRPr="008E4182">
        <w:rPr>
          <w:rFonts w:asciiTheme="majorBidi" w:hAnsiTheme="majorBidi" w:cstheme="majorBidi"/>
          <w:b/>
          <w:bCs/>
          <w:color w:val="365F91" w:themeColor="accent1" w:themeShade="BF"/>
        </w:rPr>
        <w:t>.(27)</w:t>
      </w:r>
      <w:r w:rsidRPr="008E4182">
        <w:rPr>
          <w:rFonts w:asciiTheme="majorBidi" w:hAnsiTheme="majorBidi" w:cstheme="majorBidi"/>
          <w:b/>
          <w:bCs/>
        </w:rPr>
        <w:t>,</w:t>
      </w:r>
      <w:r w:rsidRPr="008E4182">
        <w:rPr>
          <w:rFonts w:asciiTheme="majorBidi" w:hAnsiTheme="majorBidi" w:cstheme="majorBidi"/>
        </w:rPr>
        <w:t xml:space="preserve"> while </w:t>
      </w:r>
      <w:r w:rsidRPr="008E4182">
        <w:rPr>
          <w:rFonts w:asciiTheme="majorBidi" w:hAnsiTheme="majorBidi" w:cstheme="majorBidi"/>
          <w:b/>
          <w:bCs/>
        </w:rPr>
        <w:t>Leon et al</w:t>
      </w:r>
      <w:r w:rsidRPr="008E4182">
        <w:rPr>
          <w:rFonts w:asciiTheme="majorBidi" w:hAnsiTheme="majorBidi" w:cstheme="majorBidi"/>
          <w:b/>
          <w:bCs/>
          <w:color w:val="365F91" w:themeColor="accent1" w:themeShade="BF"/>
        </w:rPr>
        <w:t>.(28)</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reported low C3 levels in severe STEC-HUS cases. Regarding outcomes, atypical HUS was associated with significantly higher rates of proteinuria, hypertension, and CKD compared to typical HUS, consistent with </w:t>
      </w:r>
      <w:r w:rsidRPr="008E4182">
        <w:rPr>
          <w:rFonts w:asciiTheme="majorBidi" w:hAnsiTheme="majorBidi" w:cstheme="majorBidi"/>
          <w:b/>
          <w:bCs/>
        </w:rPr>
        <w:t>Kavanagh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(26)</w:t>
      </w:r>
      <w:r w:rsidRPr="008E4182">
        <w:rPr>
          <w:rFonts w:asciiTheme="majorBidi" w:hAnsiTheme="majorBidi" w:cstheme="majorBidi"/>
          <w:b/>
          <w:bCs/>
        </w:rPr>
        <w:t>,</w:t>
      </w:r>
      <w:r w:rsidRPr="008E4182">
        <w:rPr>
          <w:rFonts w:asciiTheme="majorBidi" w:hAnsiTheme="majorBidi" w:cstheme="majorBidi"/>
        </w:rPr>
        <w:t xml:space="preserve"> although long-term sequelae of CKD were also reported in STEC-HUS by </w:t>
      </w:r>
      <w:proofErr w:type="spellStart"/>
      <w:r w:rsidRPr="008E4182">
        <w:rPr>
          <w:rFonts w:asciiTheme="majorBidi" w:hAnsiTheme="majorBidi" w:cstheme="majorBidi"/>
          <w:b/>
          <w:bCs/>
        </w:rPr>
        <w:t>Alconcher</w:t>
      </w:r>
      <w:proofErr w:type="spellEnd"/>
      <w:r w:rsidRPr="008E4182">
        <w:rPr>
          <w:rFonts w:asciiTheme="majorBidi" w:hAnsiTheme="majorBidi" w:cstheme="majorBidi"/>
          <w:b/>
          <w:bCs/>
        </w:rPr>
        <w:t xml:space="preserve"> et al</w:t>
      </w:r>
      <w:r w:rsidRPr="008E4182">
        <w:rPr>
          <w:rFonts w:asciiTheme="majorBidi" w:hAnsiTheme="majorBidi" w:cstheme="majorBidi"/>
          <w:color w:val="365F91" w:themeColor="accent1" w:themeShade="BF"/>
        </w:rPr>
        <w:t xml:space="preserve">. </w:t>
      </w:r>
      <w:r w:rsidRPr="008E4182">
        <w:rPr>
          <w:rFonts w:asciiTheme="majorBidi" w:hAnsiTheme="majorBidi" w:cstheme="majorBidi"/>
          <w:b/>
          <w:bCs/>
          <w:color w:val="365F91" w:themeColor="accent1" w:themeShade="BF"/>
        </w:rPr>
        <w:t xml:space="preserve">(29) </w:t>
      </w:r>
    </w:p>
    <w:p w:rsidR="009A769D" w:rsidRPr="008E4182" w:rsidRDefault="009A769D" w:rsidP="00B7524F">
      <w:pPr>
        <w:spacing w:before="120" w:after="240" w:line="240" w:lineRule="auto"/>
        <w:ind w:left="0" w:firstLine="0"/>
        <w:rPr>
          <w:rFonts w:asciiTheme="majorBidi" w:hAnsiTheme="majorBidi" w:cstheme="majorBidi"/>
          <w:color w:val="auto"/>
          <w:kern w:val="0"/>
          <w14:ligatures w14:val="none"/>
        </w:rPr>
      </w:pPr>
      <w:r w:rsidRPr="008E4182">
        <w:rPr>
          <w:rFonts w:asciiTheme="majorBidi" w:hAnsiTheme="majorBidi" w:cstheme="majorBidi"/>
          <w:color w:val="auto"/>
          <w:kern w:val="0"/>
          <w14:ligatures w14:val="none"/>
        </w:rPr>
        <w:t xml:space="preserve">Regarding predictors of chronic kidney disease (CKD) versus recovery in our cohort, progression to CKD was significantly associated with atypical HUS, presence of convulsions, higher serum creatinine levels, and lower estimated GFR at presentation. These findings are in agreement with </w:t>
      </w:r>
      <w:r w:rsidRPr="008E4182">
        <w:rPr>
          <w:rFonts w:asciiTheme="majorBidi" w:hAnsiTheme="majorBidi" w:cstheme="majorBidi"/>
          <w:b/>
          <w:bCs/>
          <w:color w:val="auto"/>
          <w:kern w:val="0"/>
          <w14:ligatures w14:val="none"/>
        </w:rPr>
        <w:t>Boyer et al.</w:t>
      </w:r>
      <w:r>
        <w:rPr>
          <w:rFonts w:asciiTheme="majorBidi" w:hAnsiTheme="majorBidi" w:cstheme="majorBidi"/>
          <w:b/>
          <w:bCs/>
          <w:color w:val="auto"/>
          <w:kern w:val="0"/>
          <w14:ligatures w14:val="none"/>
        </w:rPr>
        <w:t xml:space="preserve"> </w:t>
      </w:r>
      <w:r w:rsidRPr="008E4182">
        <w:rPr>
          <w:rFonts w:asciiTheme="majorBidi" w:hAnsiTheme="majorBidi" w:cstheme="majorBidi"/>
          <w:b/>
          <w:bCs/>
          <w:color w:val="365F91" w:themeColor="accent1" w:themeShade="BF"/>
          <w:kern w:val="0"/>
          <w14:ligatures w14:val="none"/>
        </w:rPr>
        <w:t>(30)</w:t>
      </w:r>
      <w:r w:rsidRPr="008E4182">
        <w:rPr>
          <w:rFonts w:asciiTheme="majorBidi" w:hAnsiTheme="majorBidi" w:cstheme="majorBidi"/>
          <w:b/>
          <w:bCs/>
          <w:color w:val="auto"/>
          <w:kern w:val="0"/>
          <w14:ligatures w14:val="none"/>
        </w:rPr>
        <w:t>,</w:t>
      </w:r>
      <w:r w:rsidRPr="008E4182">
        <w:rPr>
          <w:rFonts w:asciiTheme="majorBidi" w:hAnsiTheme="majorBidi" w:cstheme="majorBidi"/>
          <w:color w:val="auto"/>
          <w:kern w:val="0"/>
          <w14:ligatures w14:val="none"/>
        </w:rPr>
        <w:t xml:space="preserve"> who reported that more than 50% of patients with atypical HUS progressed to ESRD despite treatment, whereas over 70% of typical HUS cases achieved complete recovery. However, long-term follow-up studies in STEC-HUS, such as </w:t>
      </w:r>
      <w:proofErr w:type="spellStart"/>
      <w:r w:rsidRPr="008E4182">
        <w:rPr>
          <w:rFonts w:asciiTheme="majorBidi" w:hAnsiTheme="majorBidi" w:cstheme="majorBidi"/>
          <w:b/>
          <w:bCs/>
          <w:color w:val="auto"/>
          <w:kern w:val="0"/>
          <w14:ligatures w14:val="none"/>
        </w:rPr>
        <w:t>Spinale</w:t>
      </w:r>
      <w:proofErr w:type="spellEnd"/>
      <w:r w:rsidRPr="008E4182">
        <w:rPr>
          <w:rFonts w:asciiTheme="majorBidi" w:hAnsiTheme="majorBidi" w:cstheme="majorBidi"/>
          <w:b/>
          <w:bCs/>
          <w:color w:val="auto"/>
          <w:kern w:val="0"/>
          <w14:ligatures w14:val="none"/>
        </w:rPr>
        <w:t xml:space="preserve"> et al.</w:t>
      </w:r>
      <w:r>
        <w:rPr>
          <w:rFonts w:asciiTheme="majorBidi" w:hAnsiTheme="majorBidi" w:cstheme="majorBidi"/>
          <w:b/>
          <w:bCs/>
          <w:color w:val="auto"/>
          <w:kern w:val="0"/>
          <w14:ligatures w14:val="none"/>
        </w:rPr>
        <w:t xml:space="preserve"> </w:t>
      </w:r>
      <w:r w:rsidRPr="008E4182">
        <w:rPr>
          <w:rFonts w:asciiTheme="majorBidi" w:hAnsiTheme="majorBidi" w:cstheme="majorBidi"/>
          <w:b/>
          <w:bCs/>
          <w:color w:val="365F91" w:themeColor="accent1" w:themeShade="BF"/>
          <w:kern w:val="0"/>
          <w14:ligatures w14:val="none"/>
        </w:rPr>
        <w:t>(31)</w:t>
      </w:r>
      <w:r w:rsidRPr="008E4182">
        <w:rPr>
          <w:rFonts w:asciiTheme="majorBidi" w:hAnsiTheme="majorBidi" w:cstheme="majorBidi"/>
          <w:b/>
          <w:bCs/>
          <w:color w:val="auto"/>
          <w:kern w:val="0"/>
          <w14:ligatures w14:val="none"/>
        </w:rPr>
        <w:t>,</w:t>
      </w:r>
      <w:r w:rsidRPr="008E4182">
        <w:rPr>
          <w:rFonts w:asciiTheme="majorBidi" w:hAnsiTheme="majorBidi" w:cstheme="majorBidi"/>
          <w:color w:val="auto"/>
          <w:kern w:val="0"/>
          <w14:ligatures w14:val="none"/>
        </w:rPr>
        <w:t xml:space="preserve"> demonstrated that up to 30% of patients may develop residual hypertension or proteinuria, highlighting that typical HUS is not entirely benign. In contrast to our findings, </w:t>
      </w:r>
      <w:proofErr w:type="spellStart"/>
      <w:r w:rsidRPr="008E4182">
        <w:rPr>
          <w:rFonts w:asciiTheme="majorBidi" w:hAnsiTheme="majorBidi" w:cstheme="majorBidi"/>
          <w:b/>
          <w:bCs/>
          <w:color w:val="auto"/>
          <w:kern w:val="0"/>
          <w14:ligatures w14:val="none"/>
        </w:rPr>
        <w:t>Pundziene</w:t>
      </w:r>
      <w:proofErr w:type="spellEnd"/>
      <w:r w:rsidRPr="008E4182">
        <w:rPr>
          <w:rFonts w:asciiTheme="majorBidi" w:hAnsiTheme="majorBidi" w:cstheme="majorBidi"/>
          <w:b/>
          <w:bCs/>
          <w:color w:val="auto"/>
          <w:kern w:val="0"/>
          <w14:ligatures w14:val="none"/>
        </w:rPr>
        <w:t xml:space="preserve"> et al.</w:t>
      </w:r>
      <w:r>
        <w:rPr>
          <w:rFonts w:asciiTheme="majorBidi" w:hAnsiTheme="majorBidi" w:cstheme="majorBidi"/>
          <w:b/>
          <w:bCs/>
          <w:color w:val="auto"/>
          <w:kern w:val="0"/>
          <w14:ligatures w14:val="none"/>
        </w:rPr>
        <w:t xml:space="preserve"> </w:t>
      </w:r>
      <w:r w:rsidRPr="008E4182">
        <w:rPr>
          <w:rFonts w:asciiTheme="majorBidi" w:hAnsiTheme="majorBidi" w:cstheme="majorBidi"/>
          <w:b/>
          <w:bCs/>
          <w:color w:val="365F91" w:themeColor="accent1" w:themeShade="BF"/>
          <w:kern w:val="0"/>
          <w14:ligatures w14:val="none"/>
        </w:rPr>
        <w:t>(32)</w:t>
      </w:r>
      <w:r w:rsidRPr="008E4182">
        <w:rPr>
          <w:rFonts w:asciiTheme="majorBidi" w:hAnsiTheme="majorBidi" w:cstheme="majorBidi"/>
          <w:color w:val="365F91" w:themeColor="accent1" w:themeShade="BF"/>
          <w:kern w:val="0"/>
          <w14:ligatures w14:val="none"/>
        </w:rPr>
        <w:t xml:space="preserve"> </w:t>
      </w:r>
      <w:r w:rsidRPr="008E4182">
        <w:rPr>
          <w:rFonts w:asciiTheme="majorBidi" w:hAnsiTheme="majorBidi" w:cstheme="majorBidi"/>
          <w:color w:val="auto"/>
          <w:kern w:val="0"/>
          <w14:ligatures w14:val="none"/>
        </w:rPr>
        <w:t>reported near-complete renal recovery in children presenting with very high creatinine levels, suggesting variability in renal outcomes.</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lastRenderedPageBreak/>
        <w:t xml:space="preserve">In the present study, mortality was significantly associated with younger age, typical HUS (p &lt; 0.05), and the presence of convulsions (p &lt; 0.01). These findings are consistent with </w:t>
      </w:r>
      <w:proofErr w:type="spellStart"/>
      <w:r w:rsidRPr="008E4182">
        <w:rPr>
          <w:rFonts w:asciiTheme="majorBidi" w:hAnsiTheme="majorBidi" w:cstheme="majorBidi"/>
          <w:b/>
          <w:bCs/>
        </w:rPr>
        <w:t>Aroor</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w:t>
      </w:r>
      <w:r w:rsidRPr="008E4182">
        <w:rPr>
          <w:rFonts w:asciiTheme="majorBidi" w:hAnsiTheme="majorBidi" w:cstheme="majorBidi"/>
          <w:b/>
          <w:bCs/>
        </w:rPr>
        <w:t>,</w:t>
      </w:r>
      <w:r w:rsidRPr="008E4182">
        <w:rPr>
          <w:rFonts w:asciiTheme="majorBidi" w:hAnsiTheme="majorBidi" w:cstheme="majorBidi"/>
        </w:rPr>
        <w:t xml:space="preserve"> who identified age below five years as a significant risk factor for mortality in pediatric HUS. Neurological involvement, particularly seizures, was a major contributor to mortality, in agreement with </w:t>
      </w:r>
      <w:proofErr w:type="spellStart"/>
      <w:r w:rsidRPr="008E4182">
        <w:rPr>
          <w:rFonts w:asciiTheme="majorBidi" w:hAnsiTheme="majorBidi" w:cstheme="majorBidi"/>
          <w:b/>
          <w:bCs/>
        </w:rPr>
        <w:t>Abdelnabi</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(33)</w:t>
      </w:r>
      <w:r w:rsidRPr="008E4182">
        <w:rPr>
          <w:rFonts w:asciiTheme="majorBidi" w:hAnsiTheme="majorBidi" w:cstheme="majorBidi"/>
          <w:b/>
          <w:bCs/>
        </w:rPr>
        <w:t>,</w:t>
      </w:r>
      <w:r w:rsidRPr="008E4182">
        <w:rPr>
          <w:rFonts w:asciiTheme="majorBidi" w:hAnsiTheme="majorBidi" w:cstheme="majorBidi"/>
        </w:rPr>
        <w:t xml:space="preserve"> who emphasized neurological complications as the most severe extra-renal manifestations affecting survival. However, our results contrast with </w:t>
      </w:r>
      <w:proofErr w:type="spellStart"/>
      <w:r w:rsidRPr="008E4182">
        <w:rPr>
          <w:rFonts w:asciiTheme="majorBidi" w:hAnsiTheme="majorBidi" w:cstheme="majorBidi"/>
          <w:b/>
          <w:bCs/>
        </w:rPr>
        <w:t>Eid</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(34)</w:t>
      </w:r>
      <w:r w:rsidRPr="008E4182">
        <w:rPr>
          <w:rFonts w:asciiTheme="majorBidi" w:hAnsiTheme="majorBidi" w:cstheme="majorBidi"/>
          <w:b/>
          <w:bCs/>
        </w:rPr>
        <w:t>,</w:t>
      </w:r>
      <w:r w:rsidRPr="008E4182">
        <w:rPr>
          <w:rFonts w:asciiTheme="majorBidi" w:hAnsiTheme="majorBidi" w:cstheme="majorBidi"/>
        </w:rPr>
        <w:t xml:space="preserve"> who reported no significant association between age, sex, and mortality, and with </w:t>
      </w:r>
      <w:proofErr w:type="spellStart"/>
      <w:r w:rsidRPr="008E4182">
        <w:rPr>
          <w:rFonts w:asciiTheme="majorBidi" w:hAnsiTheme="majorBidi" w:cstheme="majorBidi"/>
          <w:b/>
          <w:bCs/>
        </w:rPr>
        <w:t>Gehad</w:t>
      </w:r>
      <w:proofErr w:type="spellEnd"/>
      <w:r w:rsidRPr="008E4182">
        <w:rPr>
          <w:rFonts w:asciiTheme="majorBidi" w:hAnsiTheme="majorBidi" w:cstheme="majorBidi"/>
          <w:b/>
          <w:bCs/>
        </w:rPr>
        <w:t xml:space="preserve"> et</w:t>
      </w:r>
      <w:r w:rsidRPr="008E4182">
        <w:rPr>
          <w:rFonts w:asciiTheme="majorBidi" w:hAnsiTheme="majorBidi" w:cstheme="majorBidi"/>
        </w:rPr>
        <w:t xml:space="preserve"> </w:t>
      </w:r>
      <w:r w:rsidRPr="008E4182">
        <w:rPr>
          <w:rFonts w:asciiTheme="majorBidi" w:hAnsiTheme="majorBidi" w:cstheme="majorBidi"/>
          <w:b/>
          <w:bCs/>
        </w:rPr>
        <w:t>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(16)</w:t>
      </w:r>
      <w:r w:rsidRPr="008E4182">
        <w:rPr>
          <w:rFonts w:asciiTheme="majorBidi" w:hAnsiTheme="majorBidi" w:cstheme="majorBidi"/>
          <w:b/>
          <w:bCs/>
        </w:rPr>
        <w:t>,</w:t>
      </w:r>
      <w:r w:rsidRPr="008E4182">
        <w:rPr>
          <w:rFonts w:asciiTheme="majorBidi" w:hAnsiTheme="majorBidi" w:cstheme="majorBidi"/>
        </w:rPr>
        <w:t xml:space="preserve"> who observed higher mortality rates among atypical HUS cases.</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Non-survivors in our cohort exhibited significantly more severe anemia, thrombocytopenia, hyperkalemia, and hypoalbuminemia at presentation. These findings partially align with </w:t>
      </w:r>
      <w:proofErr w:type="spellStart"/>
      <w:r w:rsidRPr="008E4182">
        <w:rPr>
          <w:rFonts w:asciiTheme="majorBidi" w:hAnsiTheme="majorBidi" w:cstheme="majorBidi"/>
        </w:rPr>
        <w:t>Aroor</w:t>
      </w:r>
      <w:proofErr w:type="spellEnd"/>
      <w:r w:rsidRPr="008E4182">
        <w:rPr>
          <w:rFonts w:asciiTheme="majorBidi" w:hAnsiTheme="majorBidi" w:cstheme="majorBidi"/>
        </w:rPr>
        <w:t xml:space="preserve"> et al., who identified hypoalbuminemia (cutoff &lt; 2.8 g/</w:t>
      </w:r>
      <w:proofErr w:type="spellStart"/>
      <w:r w:rsidRPr="008E4182">
        <w:rPr>
          <w:rFonts w:asciiTheme="majorBidi" w:hAnsiTheme="majorBidi" w:cstheme="majorBidi"/>
        </w:rPr>
        <w:t>dL</w:t>
      </w:r>
      <w:proofErr w:type="spellEnd"/>
      <w:r w:rsidRPr="008E4182">
        <w:rPr>
          <w:rFonts w:asciiTheme="majorBidi" w:hAnsiTheme="majorBidi" w:cstheme="majorBidi"/>
        </w:rPr>
        <w:t xml:space="preserve">) and hyperkalemia as strong predictors of mortality. In contrast, </w:t>
      </w:r>
      <w:proofErr w:type="spellStart"/>
      <w:r w:rsidRPr="008E4182">
        <w:rPr>
          <w:rFonts w:asciiTheme="majorBidi" w:hAnsiTheme="majorBidi" w:cstheme="majorBidi"/>
          <w:b/>
          <w:bCs/>
        </w:rPr>
        <w:t>LooS</w:t>
      </w:r>
      <w:proofErr w:type="spellEnd"/>
      <w:r w:rsidRPr="008E4182">
        <w:rPr>
          <w:rFonts w:asciiTheme="majorBidi" w:hAnsiTheme="majorBidi" w:cstheme="majorBidi"/>
          <w:b/>
          <w:bCs/>
        </w:rPr>
        <w:t>.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(35)</w:t>
      </w:r>
      <w:r w:rsidRPr="008E4182">
        <w:rPr>
          <w:rFonts w:asciiTheme="majorBidi" w:hAnsiTheme="majorBidi" w:cstheme="majorBidi"/>
        </w:rPr>
        <w:t>. reported that anemia alone was not a reliable mortality predictor in HUS, part</w:t>
      </w:r>
      <w:r w:rsidR="00A44688">
        <w:rPr>
          <w:rFonts w:asciiTheme="majorBidi" w:hAnsiTheme="majorBidi" w:cstheme="majorBidi"/>
        </w:rPr>
        <w:t xml:space="preserve">icularly in STEC-HUS, where </w:t>
      </w:r>
      <w:proofErr w:type="spellStart"/>
      <w:r w:rsidR="00A44688">
        <w:rPr>
          <w:rFonts w:asciiTheme="majorBidi" w:hAnsiTheme="majorBidi" w:cstheme="majorBidi"/>
        </w:rPr>
        <w:t>hemo</w:t>
      </w:r>
      <w:r w:rsidRPr="008E4182">
        <w:rPr>
          <w:rFonts w:asciiTheme="majorBidi" w:hAnsiTheme="majorBidi" w:cstheme="majorBidi"/>
        </w:rPr>
        <w:t>concentration</w:t>
      </w:r>
      <w:proofErr w:type="spellEnd"/>
      <w:r w:rsidRPr="008E4182">
        <w:rPr>
          <w:rFonts w:asciiTheme="majorBidi" w:hAnsiTheme="majorBidi" w:cstheme="majorBidi"/>
        </w:rPr>
        <w:t xml:space="preserve"> secondary to dehydration may reflect disease severity rather than true hematological failure.</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 xml:space="preserve">In our study, stool culture positivity and Shiga toxin testing demonstrated poor predictive value for mortality in typical HUS cases. This finding is consistent with </w:t>
      </w:r>
      <w:proofErr w:type="spellStart"/>
      <w:r w:rsidRPr="008E4182">
        <w:rPr>
          <w:rFonts w:asciiTheme="majorBidi" w:hAnsiTheme="majorBidi" w:cstheme="majorBidi"/>
          <w:b/>
          <w:bCs/>
        </w:rPr>
        <w:t>Wijnsma</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(36)</w:t>
      </w:r>
      <w:r w:rsidRPr="008E4182">
        <w:rPr>
          <w:rFonts w:asciiTheme="majorBidi" w:hAnsiTheme="majorBidi" w:cstheme="majorBidi"/>
          <w:b/>
          <w:bCs/>
        </w:rPr>
        <w:t>,</w:t>
      </w:r>
      <w:r w:rsidRPr="008E4182">
        <w:rPr>
          <w:rFonts w:asciiTheme="majorBidi" w:hAnsiTheme="majorBidi" w:cstheme="majorBidi"/>
        </w:rPr>
        <w:t xml:space="preserve"> who highlighted the limited prognostic utility of stool culture and Shiga toxin ELISA alone for risk stratification. Conversely, </w:t>
      </w:r>
      <w:proofErr w:type="spellStart"/>
      <w:r w:rsidRPr="008E4182">
        <w:rPr>
          <w:rFonts w:asciiTheme="majorBidi" w:hAnsiTheme="majorBidi" w:cstheme="majorBidi"/>
          <w:b/>
          <w:bCs/>
        </w:rPr>
        <w:t>Maleknia</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(37)</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reported that specific Shiga toxin subtypes, particularly Stx2, were strongly associated with disease severity and progression.</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ROC curve analysis in atypical HUS cases demonstrated that a factor H cutoff level of 51 mg/L predicted chronicity with a sensitivity of 68% and specificity of 55% (AUC = 0.667). Additionally, complement C3 at a cutoff value of 68 mg/d</w:t>
      </w:r>
      <w:r w:rsidR="00A44688">
        <w:rPr>
          <w:rFonts w:asciiTheme="majorBidi" w:hAnsiTheme="majorBidi" w:cstheme="majorBidi"/>
        </w:rPr>
        <w:t xml:space="preserve"> </w:t>
      </w:r>
      <w:r w:rsidRPr="008E4182">
        <w:rPr>
          <w:rFonts w:asciiTheme="majorBidi" w:hAnsiTheme="majorBidi" w:cstheme="majorBidi"/>
        </w:rPr>
        <w:t>L showed a sensitivity of 72% and specificity of 44% (AUC = 0.667) for predicting chronic disease. Comparable cutoff values for predicting chronicity remain limited in the literature. However</w:t>
      </w:r>
      <w:r w:rsidRPr="008E4182">
        <w:rPr>
          <w:rFonts w:asciiTheme="majorBidi" w:hAnsiTheme="majorBidi" w:cstheme="majorBidi"/>
          <w:b/>
          <w:bCs/>
        </w:rPr>
        <w:t xml:space="preserve">, </w:t>
      </w:r>
      <w:proofErr w:type="spellStart"/>
      <w:r w:rsidRPr="008E4182">
        <w:rPr>
          <w:rFonts w:asciiTheme="majorBidi" w:hAnsiTheme="majorBidi" w:cstheme="majorBidi"/>
          <w:b/>
          <w:bCs/>
        </w:rPr>
        <w:t>Puraswani</w:t>
      </w:r>
      <w:proofErr w:type="spellEnd"/>
      <w:r w:rsidRPr="008E4182">
        <w:rPr>
          <w:rFonts w:asciiTheme="majorBidi" w:hAnsiTheme="majorBidi" w:cstheme="majorBidi"/>
          <w:b/>
          <w:bCs/>
        </w:rPr>
        <w:t xml:space="preserve"> et al</w:t>
      </w:r>
      <w:r w:rsidRPr="008E4182">
        <w:rPr>
          <w:rFonts w:asciiTheme="majorBidi" w:hAnsiTheme="majorBidi" w:cstheme="majorBidi"/>
        </w:rPr>
        <w:t>.</w:t>
      </w:r>
      <w:r>
        <w:rPr>
          <w:rFonts w:asciiTheme="majorBidi" w:hAnsiTheme="majorBidi" w:cstheme="majorBidi"/>
        </w:rPr>
        <w:t xml:space="preserve"> </w:t>
      </w:r>
      <w:r w:rsidRPr="008E4182">
        <w:rPr>
          <w:rFonts w:asciiTheme="majorBidi" w:hAnsiTheme="majorBidi" w:cstheme="majorBidi"/>
          <w:b/>
          <w:bCs/>
          <w:color w:val="365F91" w:themeColor="accent1" w:themeShade="BF"/>
        </w:rPr>
        <w:t>(38)</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 xml:space="preserve">reported that free factor H levels below 440 mg/L at six months predicted relapse with higher accuracy (sensitivity 70%, specificity 100%, AUC 0.91), while </w:t>
      </w:r>
      <w:proofErr w:type="spellStart"/>
      <w:r w:rsidRPr="008E4182">
        <w:rPr>
          <w:rFonts w:asciiTheme="majorBidi" w:hAnsiTheme="majorBidi" w:cstheme="majorBidi"/>
          <w:b/>
          <w:bCs/>
        </w:rPr>
        <w:t>Netti</w:t>
      </w:r>
      <w:proofErr w:type="spellEnd"/>
      <w:r w:rsidRPr="008E4182">
        <w:rPr>
          <w:rFonts w:asciiTheme="majorBidi" w:hAnsiTheme="majorBidi" w:cstheme="majorBidi"/>
          <w:b/>
          <w:bCs/>
        </w:rPr>
        <w:t xml:space="preserve"> et al.</w:t>
      </w:r>
      <w:r>
        <w:rPr>
          <w:rFonts w:asciiTheme="majorBidi" w:hAnsiTheme="majorBidi" w:cstheme="majorBidi"/>
          <w:b/>
          <w:bCs/>
        </w:rPr>
        <w:t xml:space="preserve"> </w:t>
      </w:r>
      <w:r w:rsidRPr="008E4182">
        <w:rPr>
          <w:rFonts w:asciiTheme="majorBidi" w:hAnsiTheme="majorBidi" w:cstheme="majorBidi"/>
          <w:b/>
          <w:bCs/>
          <w:color w:val="365F91" w:themeColor="accent1" w:themeShade="BF"/>
        </w:rPr>
        <w:t>(24)</w:t>
      </w:r>
      <w:r w:rsidRPr="008E4182">
        <w:rPr>
          <w:rFonts w:asciiTheme="majorBidi" w:hAnsiTheme="majorBidi" w:cstheme="majorBidi"/>
          <w:color w:val="365F91" w:themeColor="accent1" w:themeShade="BF"/>
        </w:rPr>
        <w:t xml:space="preserve"> </w:t>
      </w:r>
      <w:r w:rsidRPr="008E4182">
        <w:rPr>
          <w:rFonts w:asciiTheme="majorBidi" w:hAnsiTheme="majorBidi" w:cstheme="majorBidi"/>
        </w:rPr>
        <w:t>identified a C3 cutoff of 76.5 mg/d</w:t>
      </w:r>
      <w:r w:rsidR="00A44688">
        <w:rPr>
          <w:rFonts w:asciiTheme="majorBidi" w:hAnsiTheme="majorBidi" w:cstheme="majorBidi"/>
        </w:rPr>
        <w:t xml:space="preserve"> </w:t>
      </w:r>
      <w:r w:rsidRPr="008E4182">
        <w:rPr>
          <w:rFonts w:asciiTheme="majorBidi" w:hAnsiTheme="majorBidi" w:cstheme="majorBidi"/>
        </w:rPr>
        <w:t>L as a predictor of neurological complications in STEC-HUS.</w:t>
      </w:r>
    </w:p>
    <w:bookmarkEnd w:id="3"/>
    <w:p w:rsidR="009A769D" w:rsidRPr="008E4182" w:rsidRDefault="009A769D" w:rsidP="00B7524F">
      <w:pPr>
        <w:spacing w:before="120" w:after="240" w:line="240" w:lineRule="auto"/>
        <w:ind w:left="0" w:firstLine="0"/>
        <w:rPr>
          <w:rFonts w:asciiTheme="majorBidi" w:hAnsiTheme="majorBidi" w:cstheme="majorBidi"/>
        </w:rPr>
      </w:pPr>
      <w:r w:rsidRPr="008E4182">
        <w:rPr>
          <w:rFonts w:asciiTheme="majorBidi" w:hAnsiTheme="majorBidi" w:cstheme="majorBidi"/>
          <w:b/>
        </w:rPr>
        <w:t xml:space="preserve">Limitation of the study </w:t>
      </w:r>
    </w:p>
    <w:p w:rsidR="009A769D" w:rsidRPr="008E4182" w:rsidRDefault="009A769D" w:rsidP="00B7524F">
      <w:pPr>
        <w:spacing w:before="120" w:after="240" w:line="240" w:lineRule="auto"/>
        <w:ind w:left="0" w:firstLine="0"/>
        <w:rPr>
          <w:rFonts w:asciiTheme="majorBidi" w:hAnsiTheme="majorBidi" w:cstheme="majorBidi"/>
        </w:rPr>
      </w:pPr>
      <w:r w:rsidRPr="008E4182">
        <w:rPr>
          <w:rFonts w:asciiTheme="majorBidi" w:hAnsiTheme="majorBidi" w:cstheme="majorBidi"/>
        </w:rPr>
        <w:t>The study was conducted at a single center with relatively small sample size and limited number of patients that may reduce stati</w:t>
      </w:r>
      <w:r w:rsidR="00A44688">
        <w:rPr>
          <w:rFonts w:asciiTheme="majorBidi" w:hAnsiTheme="majorBidi" w:cstheme="majorBidi"/>
        </w:rPr>
        <w:t>sti</w:t>
      </w:r>
      <w:r w:rsidRPr="008E4182">
        <w:rPr>
          <w:rFonts w:asciiTheme="majorBidi" w:hAnsiTheme="majorBidi" w:cstheme="majorBidi"/>
        </w:rPr>
        <w:t xml:space="preserve">cal power ,also patient who missed follow up during two years period of the study influenced the results ,limited availability of the specific therapy (anti C5 inhibitor ) which may  affected out come in atypical HUS limiting the generalizability of results .Genetic tests were not performed limiting the ability of correlation to specific genetic mutations and outcome. </w:t>
      </w:r>
    </w:p>
    <w:p w:rsidR="00B7524F" w:rsidRDefault="00B7524F" w:rsidP="009A769D">
      <w:pPr>
        <w:spacing w:before="120" w:after="240" w:line="240" w:lineRule="auto"/>
        <w:ind w:left="0" w:firstLine="0"/>
        <w:rPr>
          <w:rFonts w:asciiTheme="majorBidi" w:hAnsiTheme="majorBidi" w:cstheme="majorBidi"/>
          <w:b/>
        </w:rPr>
      </w:pPr>
    </w:p>
    <w:p w:rsidR="00B7524F" w:rsidRDefault="00B7524F" w:rsidP="009A769D">
      <w:pPr>
        <w:spacing w:before="120" w:after="240" w:line="240" w:lineRule="auto"/>
        <w:ind w:left="0" w:firstLine="0"/>
        <w:rPr>
          <w:rFonts w:asciiTheme="majorBidi" w:hAnsiTheme="majorBidi" w:cstheme="majorBidi"/>
          <w:b/>
        </w:rPr>
      </w:pPr>
    </w:p>
    <w:p w:rsidR="00B7524F" w:rsidRDefault="00B7524F" w:rsidP="009A769D">
      <w:pPr>
        <w:spacing w:before="120" w:after="240" w:line="240" w:lineRule="auto"/>
        <w:ind w:left="0" w:firstLine="0"/>
        <w:rPr>
          <w:rFonts w:asciiTheme="majorBidi" w:hAnsiTheme="majorBidi" w:cstheme="majorBidi"/>
          <w:b/>
        </w:rPr>
      </w:pPr>
    </w:p>
    <w:p w:rsidR="00B7524F" w:rsidRDefault="00B7524F" w:rsidP="009A769D">
      <w:pPr>
        <w:spacing w:before="120" w:after="240" w:line="240" w:lineRule="auto"/>
        <w:ind w:left="0" w:firstLine="0"/>
        <w:rPr>
          <w:rFonts w:asciiTheme="majorBidi" w:hAnsiTheme="majorBidi" w:cstheme="majorBidi"/>
          <w:b/>
        </w:rPr>
      </w:pPr>
    </w:p>
    <w:p w:rsidR="009A769D" w:rsidRPr="008E4182" w:rsidRDefault="009A769D" w:rsidP="009A769D">
      <w:pPr>
        <w:spacing w:before="120" w:after="240" w:line="240" w:lineRule="auto"/>
        <w:ind w:left="0" w:firstLine="0"/>
        <w:rPr>
          <w:rFonts w:asciiTheme="majorBidi" w:hAnsiTheme="majorBidi" w:cstheme="majorBidi"/>
          <w:b/>
          <w:rtl/>
        </w:rPr>
      </w:pPr>
      <w:r w:rsidRPr="008E4182">
        <w:rPr>
          <w:rFonts w:asciiTheme="majorBidi" w:hAnsiTheme="majorBidi" w:cstheme="majorBidi"/>
          <w:b/>
        </w:rPr>
        <w:lastRenderedPageBreak/>
        <w:t xml:space="preserve">Recommendations </w:t>
      </w:r>
    </w:p>
    <w:p w:rsidR="009A769D" w:rsidRPr="008E4182" w:rsidRDefault="009A769D" w:rsidP="00B7524F">
      <w:pPr>
        <w:pStyle w:val="a3"/>
        <w:spacing w:before="120" w:after="240"/>
        <w:jc w:val="both"/>
        <w:rPr>
          <w:rFonts w:asciiTheme="majorBidi" w:hAnsiTheme="majorBidi" w:cstheme="majorBidi"/>
          <w:rtl/>
        </w:rPr>
      </w:pPr>
      <w:r w:rsidRPr="008E4182">
        <w:rPr>
          <w:rFonts w:asciiTheme="majorBidi" w:hAnsiTheme="majorBidi" w:cstheme="majorBidi"/>
        </w:rPr>
        <w:t>Atypical HUS tends to occur at an older age and shows a male predominance among affected children. Compared with typical HUS, atypical HUS is associated with more severe systemic involvement, longer hospital stays, and poorer renal outcomes, including higher rates of chronic kidney disease, proteinuria, and hypertension.</w:t>
      </w:r>
    </w:p>
    <w:p w:rsidR="009A769D" w:rsidRPr="008E4182" w:rsidRDefault="009A769D" w:rsidP="00B7524F">
      <w:pPr>
        <w:pStyle w:val="a3"/>
        <w:spacing w:before="120" w:after="240"/>
        <w:jc w:val="both"/>
        <w:rPr>
          <w:rFonts w:asciiTheme="majorBidi" w:hAnsiTheme="majorBidi" w:cstheme="majorBidi"/>
        </w:rPr>
      </w:pPr>
      <w:r w:rsidRPr="008E4182">
        <w:rPr>
          <w:rFonts w:asciiTheme="majorBidi" w:hAnsiTheme="majorBidi" w:cstheme="majorBidi"/>
        </w:rPr>
        <w:t>Low complement levels, reduced initial glomerular filtration rate, prolonged hospitalization, and extended dialysis duration were identified as strong predictors of chronicity and mortality. In contrast, positive stool culture and Shiga toxin testing demonstrated poor predictive value for mortality in typical HUS cases. Among patients with atypical HUS, lower serum C3 levels, reduced factor H levels, and impaired initial renal function were associated with an increased risk of disease chronicity.</w:t>
      </w:r>
    </w:p>
    <w:p w:rsidR="009A769D" w:rsidRPr="008E4182" w:rsidRDefault="009A769D" w:rsidP="009A769D">
      <w:pPr>
        <w:spacing w:after="170" w:line="259" w:lineRule="auto"/>
        <w:ind w:left="39"/>
        <w:jc w:val="left"/>
        <w:rPr>
          <w:rFonts w:asciiTheme="majorBidi" w:hAnsiTheme="majorBidi" w:cstheme="majorBidi"/>
        </w:rPr>
      </w:pPr>
    </w:p>
    <w:p w:rsidR="009A769D" w:rsidRPr="008E4182" w:rsidRDefault="009A769D" w:rsidP="009A769D">
      <w:pPr>
        <w:spacing w:after="87" w:line="259" w:lineRule="auto"/>
        <w:ind w:left="39"/>
        <w:jc w:val="left"/>
        <w:rPr>
          <w:rFonts w:asciiTheme="majorBidi" w:hAnsiTheme="majorBidi" w:cstheme="majorBidi"/>
        </w:rPr>
      </w:pPr>
      <w:r w:rsidRPr="008E4182">
        <w:rPr>
          <w:rFonts w:asciiTheme="majorBidi" w:hAnsiTheme="majorBidi" w:cstheme="majorBidi"/>
          <w:b/>
        </w:rPr>
        <w:t xml:space="preserve">ABBREVIATIONS </w:t>
      </w:r>
    </w:p>
    <w:p w:rsidR="009A769D" w:rsidRPr="00EF594D" w:rsidRDefault="009A769D" w:rsidP="009A769D">
      <w:pPr>
        <w:spacing w:after="237" w:line="259" w:lineRule="auto"/>
        <w:ind w:left="44" w:firstLine="0"/>
        <w:jc w:val="left"/>
        <w:rPr>
          <w:rFonts w:asciiTheme="majorBidi" w:hAnsiTheme="majorBidi" w:cstheme="majorBidi"/>
        </w:rPr>
      </w:pPr>
      <w:r w:rsidRPr="008E4182">
        <w:rPr>
          <w:rFonts w:asciiTheme="majorBidi" w:hAnsiTheme="majorBidi" w:cstheme="majorBidi"/>
          <w:b/>
        </w:rPr>
        <w:t xml:space="preserve"> </w:t>
      </w: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03"/>
        <w:gridCol w:w="5548"/>
      </w:tblGrid>
      <w:tr w:rsidR="009A769D" w:rsidRPr="00F335D1" w:rsidTr="00586431">
        <w:trPr>
          <w:jc w:val="center"/>
        </w:trPr>
        <w:tc>
          <w:tcPr>
            <w:tcW w:w="0" w:type="auto"/>
            <w:hideMark/>
          </w:tcPr>
          <w:p w:rsidR="009A769D" w:rsidRPr="00F335D1" w:rsidRDefault="009A769D" w:rsidP="00586431">
            <w:pPr>
              <w:spacing w:after="0" w:line="240" w:lineRule="auto"/>
              <w:ind w:left="0" w:firstLine="0"/>
              <w:rPr>
                <w:b/>
                <w:bCs/>
                <w:color w:val="auto"/>
                <w:kern w:val="0"/>
                <w14:ligatures w14:val="none"/>
              </w:rPr>
            </w:pPr>
            <w:r>
              <w:rPr>
                <w:b/>
                <w:bCs/>
                <w:color w:val="auto"/>
                <w:kern w:val="0"/>
                <w14:ligatures w14:val="none"/>
              </w:rPr>
              <w:t>ABB</w:t>
            </w:r>
          </w:p>
        </w:tc>
        <w:tc>
          <w:tcPr>
            <w:tcW w:w="0" w:type="auto"/>
            <w:hideMark/>
          </w:tcPr>
          <w:p w:rsidR="009A769D" w:rsidRPr="00F335D1" w:rsidRDefault="009A769D" w:rsidP="00586431">
            <w:pPr>
              <w:spacing w:after="0" w:line="240" w:lineRule="auto"/>
              <w:ind w:left="0" w:firstLine="0"/>
              <w:jc w:val="center"/>
              <w:rPr>
                <w:b/>
                <w:bCs/>
                <w:color w:val="auto"/>
                <w:kern w:val="0"/>
                <w14:ligatures w14:val="none"/>
              </w:rPr>
            </w:pPr>
            <w:r>
              <w:rPr>
                <w:b/>
                <w:bCs/>
                <w:color w:val="auto"/>
                <w:kern w:val="0"/>
                <w14:ligatures w14:val="none"/>
              </w:rPr>
              <w:t>Full term</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a-HUS</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Atypical hemolytic uremic syndrome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AKI</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Acute kidney injury</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ALT</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Alanine Aminotransferase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AST</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Aspartate Aminotransferase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AUC</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Area under curve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C3</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Complement factor 3</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CFH</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Complement factor H</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DIC</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Disseminated intravascular coagulation</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 -Coli</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Escherichia coli</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ELISA</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Enzyme – Linked immunosorbent Assay</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ESR</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Erythrocyte sedimentation rate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ESRD</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End stage renal disease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GFR</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Glomerular filtration rate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HUS</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Hemolytic uremic syndrome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KDIGO</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Kidney Disease Improving Global Outcomes</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LDH</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Lactate Dehydrogenase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PCR</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Polymerase chain Reaction</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ROC</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Receiver operating characteristic curve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SP- HUS</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Streptococcus pneumoniae hemolytic uremic syndrome</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STEC</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 xml:space="preserve">Shiga toxin-producing </w:t>
            </w:r>
            <w:r w:rsidRPr="00F335D1">
              <w:rPr>
                <w:i/>
                <w:iCs/>
                <w:color w:val="auto"/>
                <w:kern w:val="0"/>
                <w14:ligatures w14:val="none"/>
              </w:rPr>
              <w:t>E. coli</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STX2</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Shiga toxin type 2</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TLC</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Total leucocyte count</w:t>
            </w:r>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TMA</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 xml:space="preserve">Thrombotic </w:t>
            </w:r>
            <w:proofErr w:type="spellStart"/>
            <w:r w:rsidRPr="00F335D1">
              <w:rPr>
                <w:color w:val="auto"/>
                <w:kern w:val="0"/>
                <w14:ligatures w14:val="none"/>
              </w:rPr>
              <w:t>microangiopathy</w:t>
            </w:r>
            <w:proofErr w:type="spellEnd"/>
          </w:p>
        </w:tc>
      </w:tr>
      <w:tr w:rsidR="009A769D" w:rsidRPr="00F335D1" w:rsidTr="00586431">
        <w:trPr>
          <w:jc w:val="center"/>
        </w:trPr>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TTP</w:t>
            </w:r>
          </w:p>
        </w:tc>
        <w:tc>
          <w:tcPr>
            <w:tcW w:w="0" w:type="auto"/>
            <w:hideMark/>
          </w:tcPr>
          <w:p w:rsidR="009A769D" w:rsidRPr="00F335D1" w:rsidRDefault="009A769D" w:rsidP="00586431">
            <w:pPr>
              <w:spacing w:after="0" w:line="240" w:lineRule="auto"/>
              <w:ind w:left="0" w:firstLine="0"/>
              <w:jc w:val="left"/>
              <w:rPr>
                <w:color w:val="auto"/>
                <w:kern w:val="0"/>
                <w14:ligatures w14:val="none"/>
              </w:rPr>
            </w:pPr>
            <w:r w:rsidRPr="00F335D1">
              <w:rPr>
                <w:color w:val="auto"/>
                <w:kern w:val="0"/>
                <w14:ligatures w14:val="none"/>
              </w:rPr>
              <w:t>Thrombotic thrombocytopenic purpura</w:t>
            </w:r>
          </w:p>
        </w:tc>
      </w:tr>
    </w:tbl>
    <w:p w:rsidR="009A769D" w:rsidRPr="008E4182" w:rsidRDefault="009A769D" w:rsidP="009A769D">
      <w:pPr>
        <w:spacing w:after="237" w:line="259" w:lineRule="auto"/>
        <w:ind w:left="44" w:firstLine="0"/>
        <w:jc w:val="left"/>
        <w:rPr>
          <w:rFonts w:asciiTheme="majorBidi" w:hAnsiTheme="majorBidi" w:cstheme="majorBidi"/>
        </w:rPr>
      </w:pPr>
    </w:p>
    <w:p w:rsidR="009A769D" w:rsidRDefault="009A769D" w:rsidP="009A769D">
      <w:pPr>
        <w:spacing w:after="157" w:line="259" w:lineRule="auto"/>
        <w:ind w:left="39"/>
        <w:jc w:val="left"/>
        <w:rPr>
          <w:rFonts w:asciiTheme="majorBidi" w:hAnsiTheme="majorBidi" w:cstheme="majorBidi"/>
          <w:b/>
        </w:rPr>
      </w:pPr>
    </w:p>
    <w:p w:rsidR="009A769D" w:rsidRPr="008E4182" w:rsidRDefault="009A769D" w:rsidP="009A769D">
      <w:pPr>
        <w:spacing w:after="157" w:line="259" w:lineRule="auto"/>
        <w:ind w:left="39"/>
        <w:jc w:val="left"/>
        <w:rPr>
          <w:rFonts w:asciiTheme="majorBidi" w:hAnsiTheme="majorBidi" w:cstheme="majorBidi"/>
        </w:rPr>
      </w:pPr>
      <w:r w:rsidRPr="008E4182">
        <w:rPr>
          <w:rFonts w:asciiTheme="majorBidi" w:hAnsiTheme="majorBidi" w:cstheme="majorBidi"/>
          <w:b/>
        </w:rPr>
        <w:lastRenderedPageBreak/>
        <w:t xml:space="preserve">References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529"/>
        </w:rPr>
        <w:t>Aroor</w:t>
      </w:r>
      <w:proofErr w:type="spellEnd"/>
      <w:r w:rsidRPr="008E4182">
        <w:rPr>
          <w:rFonts w:asciiTheme="majorBidi" w:hAnsiTheme="majorBidi" w:cstheme="majorBidi"/>
          <w:color w:val="212529"/>
        </w:rPr>
        <w:t xml:space="preserve"> S. , </w:t>
      </w:r>
      <w:proofErr w:type="spellStart"/>
      <w:r w:rsidRPr="008E4182">
        <w:rPr>
          <w:rFonts w:asciiTheme="majorBidi" w:hAnsiTheme="majorBidi" w:cstheme="majorBidi"/>
          <w:color w:val="212529"/>
        </w:rPr>
        <w:t>Teja</w:t>
      </w:r>
      <w:proofErr w:type="spellEnd"/>
      <w:r w:rsidRPr="008E4182">
        <w:rPr>
          <w:rFonts w:asciiTheme="majorBidi" w:hAnsiTheme="majorBidi" w:cstheme="majorBidi"/>
          <w:color w:val="212529"/>
        </w:rPr>
        <w:t xml:space="preserve"> </w:t>
      </w:r>
      <w:proofErr w:type="spellStart"/>
      <w:r w:rsidRPr="008E4182">
        <w:rPr>
          <w:rFonts w:asciiTheme="majorBidi" w:hAnsiTheme="majorBidi" w:cstheme="majorBidi"/>
          <w:color w:val="212529"/>
        </w:rPr>
        <w:t>Gajjala</w:t>
      </w:r>
      <w:proofErr w:type="spellEnd"/>
      <w:r w:rsidRPr="008E4182">
        <w:rPr>
          <w:rFonts w:asciiTheme="majorBidi" w:hAnsiTheme="majorBidi" w:cstheme="majorBidi"/>
          <w:color w:val="212529"/>
        </w:rPr>
        <w:t xml:space="preserve"> S. ,  </w:t>
      </w:r>
      <w:proofErr w:type="spellStart"/>
      <w:r w:rsidRPr="008E4182">
        <w:rPr>
          <w:rFonts w:asciiTheme="majorBidi" w:hAnsiTheme="majorBidi" w:cstheme="majorBidi"/>
          <w:color w:val="212529"/>
        </w:rPr>
        <w:t>Kini</w:t>
      </w:r>
      <w:proofErr w:type="spellEnd"/>
      <w:r w:rsidRPr="008E4182">
        <w:rPr>
          <w:rFonts w:asciiTheme="majorBidi" w:hAnsiTheme="majorBidi" w:cstheme="majorBidi"/>
          <w:color w:val="212529"/>
        </w:rPr>
        <w:t xml:space="preserve"> PU. ,  </w:t>
      </w:r>
      <w:proofErr w:type="spellStart"/>
      <w:r w:rsidRPr="008E4182">
        <w:rPr>
          <w:rFonts w:asciiTheme="majorBidi" w:hAnsiTheme="majorBidi" w:cstheme="majorBidi"/>
          <w:color w:val="212529"/>
        </w:rPr>
        <w:t>Mundkur</w:t>
      </w:r>
      <w:proofErr w:type="spellEnd"/>
      <w:r w:rsidRPr="008E4182">
        <w:rPr>
          <w:rFonts w:asciiTheme="majorBidi" w:hAnsiTheme="majorBidi" w:cstheme="majorBidi"/>
          <w:color w:val="212529"/>
        </w:rPr>
        <w:t xml:space="preserve"> S. , Bhat Y R. et al.  "Hemolytic uremic syndrome in children: Clinical characteristics and predictors of outcome" (2024). Open Access archive. 10131.</w:t>
      </w:r>
      <w:r w:rsidRPr="008E4182">
        <w:rPr>
          <w:rFonts w:asciiTheme="majorBidi" w:hAnsiTheme="majorBidi" w:cstheme="majorBidi"/>
        </w:rPr>
        <w:t xml:space="preserve">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Bagga</w:t>
      </w:r>
      <w:proofErr w:type="spellEnd"/>
      <w:r w:rsidRPr="008E4182">
        <w:rPr>
          <w:rFonts w:asciiTheme="majorBidi" w:hAnsiTheme="majorBidi" w:cstheme="majorBidi"/>
          <w:color w:val="212121"/>
        </w:rPr>
        <w:t xml:space="preserve"> A, </w:t>
      </w:r>
      <w:proofErr w:type="spellStart"/>
      <w:r w:rsidRPr="008E4182">
        <w:rPr>
          <w:rFonts w:asciiTheme="majorBidi" w:hAnsiTheme="majorBidi" w:cstheme="majorBidi"/>
          <w:color w:val="212121"/>
        </w:rPr>
        <w:t>Khandelwal</w:t>
      </w:r>
      <w:proofErr w:type="spellEnd"/>
      <w:r w:rsidRPr="008E4182">
        <w:rPr>
          <w:rFonts w:asciiTheme="majorBidi" w:hAnsiTheme="majorBidi" w:cstheme="majorBidi"/>
          <w:color w:val="212121"/>
        </w:rPr>
        <w:t xml:space="preserve"> P, Mishra K, </w:t>
      </w:r>
      <w:proofErr w:type="spellStart"/>
      <w:r w:rsidRPr="008E4182">
        <w:rPr>
          <w:rFonts w:asciiTheme="majorBidi" w:hAnsiTheme="majorBidi" w:cstheme="majorBidi"/>
          <w:color w:val="212121"/>
        </w:rPr>
        <w:t>Thergaonkar</w:t>
      </w:r>
      <w:proofErr w:type="spellEnd"/>
      <w:r w:rsidRPr="008E4182">
        <w:rPr>
          <w:rFonts w:asciiTheme="majorBidi" w:hAnsiTheme="majorBidi" w:cstheme="majorBidi"/>
          <w:color w:val="212121"/>
        </w:rPr>
        <w:t xml:space="preserve"> R, </w:t>
      </w:r>
      <w:proofErr w:type="spellStart"/>
      <w:r w:rsidRPr="008E4182">
        <w:rPr>
          <w:rFonts w:asciiTheme="majorBidi" w:hAnsiTheme="majorBidi" w:cstheme="majorBidi"/>
          <w:color w:val="212121"/>
        </w:rPr>
        <w:t>Vasudevan</w:t>
      </w:r>
      <w:proofErr w:type="spellEnd"/>
      <w:r w:rsidRPr="008E4182">
        <w:rPr>
          <w:rFonts w:asciiTheme="majorBidi" w:hAnsiTheme="majorBidi" w:cstheme="majorBidi"/>
          <w:color w:val="212121"/>
        </w:rPr>
        <w:t xml:space="preserve"> A, et al. Hemolytic uremic syndrome in a developing country: Consensus guidelines.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2019 Aug;34(8):1465-1482.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10.1007/s00467-019-04233-7.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1B1B1B"/>
        </w:rPr>
        <w:t>Mocanu</w:t>
      </w:r>
      <w:proofErr w:type="spellEnd"/>
      <w:r w:rsidRPr="008E4182">
        <w:rPr>
          <w:rFonts w:asciiTheme="majorBidi" w:hAnsiTheme="majorBidi" w:cstheme="majorBidi"/>
          <w:color w:val="1B1B1B"/>
        </w:rPr>
        <w:t xml:space="preserve"> A, Bogos RA, </w:t>
      </w:r>
      <w:proofErr w:type="spellStart"/>
      <w:r w:rsidRPr="008E4182">
        <w:rPr>
          <w:rFonts w:asciiTheme="majorBidi" w:hAnsiTheme="majorBidi" w:cstheme="majorBidi"/>
          <w:color w:val="1B1B1B"/>
        </w:rPr>
        <w:t>Lazaruc</w:t>
      </w:r>
      <w:proofErr w:type="spellEnd"/>
      <w:r w:rsidRPr="008E4182">
        <w:rPr>
          <w:rFonts w:asciiTheme="majorBidi" w:hAnsiTheme="majorBidi" w:cstheme="majorBidi"/>
          <w:color w:val="1B1B1B"/>
        </w:rPr>
        <w:t xml:space="preserve"> TI, </w:t>
      </w:r>
      <w:proofErr w:type="spellStart"/>
      <w:r w:rsidRPr="008E4182">
        <w:rPr>
          <w:rFonts w:asciiTheme="majorBidi" w:hAnsiTheme="majorBidi" w:cstheme="majorBidi"/>
          <w:color w:val="1B1B1B"/>
        </w:rPr>
        <w:t>Cianga</w:t>
      </w:r>
      <w:proofErr w:type="spellEnd"/>
      <w:r w:rsidRPr="008E4182">
        <w:rPr>
          <w:rFonts w:asciiTheme="majorBidi" w:hAnsiTheme="majorBidi" w:cstheme="majorBidi"/>
          <w:color w:val="1B1B1B"/>
        </w:rPr>
        <w:t xml:space="preserve"> AL, </w:t>
      </w:r>
      <w:proofErr w:type="spellStart"/>
      <w:r w:rsidRPr="008E4182">
        <w:rPr>
          <w:rFonts w:asciiTheme="majorBidi" w:hAnsiTheme="majorBidi" w:cstheme="majorBidi"/>
          <w:color w:val="1B1B1B"/>
        </w:rPr>
        <w:t>Lupu</w:t>
      </w:r>
      <w:proofErr w:type="spellEnd"/>
      <w:r w:rsidRPr="008E4182">
        <w:rPr>
          <w:rFonts w:asciiTheme="majorBidi" w:hAnsiTheme="majorBidi" w:cstheme="majorBidi"/>
          <w:color w:val="1B1B1B"/>
        </w:rPr>
        <w:t xml:space="preserve"> </w:t>
      </w:r>
      <w:proofErr w:type="spellStart"/>
      <w:r w:rsidRPr="008E4182">
        <w:rPr>
          <w:rFonts w:asciiTheme="majorBidi" w:hAnsiTheme="majorBidi" w:cstheme="majorBidi"/>
          <w:color w:val="1B1B1B"/>
        </w:rPr>
        <w:t>VV,et</w:t>
      </w:r>
      <w:proofErr w:type="spellEnd"/>
      <w:r w:rsidRPr="008E4182">
        <w:rPr>
          <w:rFonts w:asciiTheme="majorBidi" w:hAnsiTheme="majorBidi" w:cstheme="majorBidi"/>
          <w:color w:val="1B1B1B"/>
        </w:rPr>
        <w:t xml:space="preserve"> al. Pitfalls     of Thrombotic </w:t>
      </w:r>
      <w:proofErr w:type="spellStart"/>
      <w:r w:rsidRPr="008E4182">
        <w:rPr>
          <w:rFonts w:asciiTheme="majorBidi" w:hAnsiTheme="majorBidi" w:cstheme="majorBidi"/>
          <w:color w:val="1B1B1B"/>
        </w:rPr>
        <w:t>Microangiopathies</w:t>
      </w:r>
      <w:proofErr w:type="spellEnd"/>
      <w:r w:rsidRPr="008E4182">
        <w:rPr>
          <w:rFonts w:asciiTheme="majorBidi" w:hAnsiTheme="majorBidi" w:cstheme="majorBidi"/>
          <w:color w:val="1B1B1B"/>
        </w:rPr>
        <w:t xml:space="preserve"> in Children: Two Case Reports and Literature Review. </w:t>
      </w:r>
      <w:r w:rsidRPr="008E4182">
        <w:rPr>
          <w:rFonts w:asciiTheme="majorBidi" w:hAnsiTheme="majorBidi" w:cstheme="majorBidi"/>
          <w:color w:val="1B1B1B"/>
        </w:rPr>
        <w:tab/>
        <w:t xml:space="preserve">Diagnostics </w:t>
      </w:r>
      <w:r w:rsidRPr="008E4182">
        <w:rPr>
          <w:rFonts w:asciiTheme="majorBidi" w:hAnsiTheme="majorBidi" w:cstheme="majorBidi"/>
          <w:color w:val="1B1B1B"/>
        </w:rPr>
        <w:tab/>
        <w:t xml:space="preserve">(Basel). 2023 </w:t>
      </w:r>
      <w:r w:rsidRPr="008E4182">
        <w:rPr>
          <w:rFonts w:asciiTheme="majorBidi" w:hAnsiTheme="majorBidi" w:cstheme="majorBidi"/>
          <w:color w:val="1B1B1B"/>
        </w:rPr>
        <w:tab/>
        <w:t xml:space="preserve">Mar 24;13(7):1228. </w:t>
      </w:r>
      <w:proofErr w:type="spellStart"/>
      <w:r w:rsidRPr="008E4182">
        <w:rPr>
          <w:rFonts w:asciiTheme="majorBidi" w:hAnsiTheme="majorBidi" w:cstheme="majorBidi"/>
          <w:color w:val="1B1B1B"/>
        </w:rPr>
        <w:t>doi</w:t>
      </w:r>
      <w:proofErr w:type="spellEnd"/>
      <w:r w:rsidRPr="008E4182">
        <w:rPr>
          <w:rFonts w:asciiTheme="majorBidi" w:hAnsiTheme="majorBidi" w:cstheme="majorBidi"/>
          <w:color w:val="1B1B1B"/>
        </w:rPr>
        <w:t xml:space="preserve">: </w:t>
      </w:r>
      <w:r w:rsidRPr="00AF349D">
        <w:rPr>
          <w:rFonts w:asciiTheme="majorBidi" w:hAnsiTheme="majorBidi" w:cstheme="majorBidi"/>
          <w:color w:val="1B1B1B"/>
        </w:rPr>
        <w:t>10.3390/</w:t>
      </w:r>
      <w:r w:rsidRPr="0089781D">
        <w:rPr>
          <w:rFonts w:asciiTheme="majorBidi" w:hAnsiTheme="majorBidi" w:cstheme="majorBidi"/>
          <w:color w:val="1B1B1B"/>
        </w:rPr>
        <w:t xml:space="preserve"> </w:t>
      </w:r>
      <w:r w:rsidRPr="00AF349D">
        <w:rPr>
          <w:rFonts w:asciiTheme="majorBidi" w:hAnsiTheme="majorBidi" w:cstheme="majorBidi"/>
          <w:color w:val="1B1B1B"/>
        </w:rPr>
        <w:t>diagnostics13071228</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Lemaire</w:t>
      </w:r>
      <w:proofErr w:type="spellEnd"/>
      <w:r w:rsidRPr="008E4182">
        <w:rPr>
          <w:rFonts w:asciiTheme="majorBidi" w:hAnsiTheme="majorBidi" w:cstheme="majorBidi"/>
          <w:color w:val="212121"/>
        </w:rPr>
        <w:t xml:space="preserve"> M, </w:t>
      </w:r>
      <w:proofErr w:type="spellStart"/>
      <w:r w:rsidRPr="008E4182">
        <w:rPr>
          <w:rFonts w:asciiTheme="majorBidi" w:hAnsiTheme="majorBidi" w:cstheme="majorBidi"/>
          <w:color w:val="212121"/>
        </w:rPr>
        <w:t>Noone</w:t>
      </w:r>
      <w:proofErr w:type="spellEnd"/>
      <w:r w:rsidRPr="008E4182">
        <w:rPr>
          <w:rFonts w:asciiTheme="majorBidi" w:hAnsiTheme="majorBidi" w:cstheme="majorBidi"/>
          <w:color w:val="212121"/>
        </w:rPr>
        <w:t xml:space="preserve"> D, </w:t>
      </w:r>
      <w:proofErr w:type="spellStart"/>
      <w:r w:rsidRPr="008E4182">
        <w:rPr>
          <w:rFonts w:asciiTheme="majorBidi" w:hAnsiTheme="majorBidi" w:cstheme="majorBidi"/>
          <w:color w:val="212121"/>
        </w:rPr>
        <w:t>Lapeyraque</w:t>
      </w:r>
      <w:proofErr w:type="spellEnd"/>
      <w:r w:rsidRPr="008E4182">
        <w:rPr>
          <w:rFonts w:asciiTheme="majorBidi" w:hAnsiTheme="majorBidi" w:cstheme="majorBidi"/>
          <w:color w:val="212121"/>
        </w:rPr>
        <w:t xml:space="preserve"> AL, Licht C, </w:t>
      </w:r>
      <w:proofErr w:type="spellStart"/>
      <w:r w:rsidRPr="008E4182">
        <w:rPr>
          <w:rFonts w:asciiTheme="majorBidi" w:hAnsiTheme="majorBidi" w:cstheme="majorBidi"/>
          <w:color w:val="212121"/>
        </w:rPr>
        <w:t>Frémeaux-Bacchi</w:t>
      </w:r>
      <w:proofErr w:type="spellEnd"/>
      <w:r w:rsidRPr="008E4182">
        <w:rPr>
          <w:rFonts w:asciiTheme="majorBidi" w:hAnsiTheme="majorBidi" w:cstheme="majorBidi"/>
          <w:color w:val="212121"/>
        </w:rPr>
        <w:t xml:space="preserve"> V. Inherited Kidney Complement Diseases. </w:t>
      </w:r>
      <w:proofErr w:type="spellStart"/>
      <w:r w:rsidRPr="008E4182">
        <w:rPr>
          <w:rFonts w:asciiTheme="majorBidi" w:hAnsiTheme="majorBidi" w:cstheme="majorBidi"/>
          <w:color w:val="212121"/>
        </w:rPr>
        <w:t>Clin</w:t>
      </w:r>
      <w:proofErr w:type="spellEnd"/>
      <w:r w:rsidRPr="008E4182">
        <w:rPr>
          <w:rFonts w:asciiTheme="majorBidi" w:hAnsiTheme="majorBidi" w:cstheme="majorBidi"/>
          <w:color w:val="212121"/>
        </w:rPr>
        <w:t xml:space="preserve"> J Am </w:t>
      </w:r>
      <w:proofErr w:type="spellStart"/>
      <w:r w:rsidRPr="008E4182">
        <w:rPr>
          <w:rFonts w:asciiTheme="majorBidi" w:hAnsiTheme="majorBidi" w:cstheme="majorBidi"/>
          <w:color w:val="212121"/>
        </w:rPr>
        <w:t>Soc</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2021 Jun;16(6):942-956.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10.2215/CJN.11830720.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Böckenhauer</w:t>
      </w:r>
      <w:proofErr w:type="spellEnd"/>
      <w:r w:rsidRPr="008E4182">
        <w:rPr>
          <w:rFonts w:asciiTheme="majorBidi" w:hAnsiTheme="majorBidi" w:cstheme="majorBidi"/>
          <w:color w:val="212121"/>
        </w:rPr>
        <w:t xml:space="preserve"> J, </w:t>
      </w:r>
      <w:proofErr w:type="spellStart"/>
      <w:r w:rsidRPr="008E4182">
        <w:rPr>
          <w:rFonts w:asciiTheme="majorBidi" w:hAnsiTheme="majorBidi" w:cstheme="majorBidi"/>
          <w:color w:val="212121"/>
        </w:rPr>
        <w:t>Schild</w:t>
      </w:r>
      <w:proofErr w:type="spellEnd"/>
      <w:r w:rsidRPr="008E4182">
        <w:rPr>
          <w:rFonts w:asciiTheme="majorBidi" w:hAnsiTheme="majorBidi" w:cstheme="majorBidi"/>
          <w:color w:val="212121"/>
        </w:rPr>
        <w:t xml:space="preserve"> R, Kemper MJ, </w:t>
      </w:r>
      <w:proofErr w:type="spellStart"/>
      <w:r w:rsidRPr="008E4182">
        <w:rPr>
          <w:rFonts w:asciiTheme="majorBidi" w:hAnsiTheme="majorBidi" w:cstheme="majorBidi"/>
          <w:color w:val="212121"/>
        </w:rPr>
        <w:t>Henne</w:t>
      </w:r>
      <w:proofErr w:type="spellEnd"/>
      <w:r w:rsidRPr="008E4182">
        <w:rPr>
          <w:rFonts w:asciiTheme="majorBidi" w:hAnsiTheme="majorBidi" w:cstheme="majorBidi"/>
          <w:color w:val="212121"/>
        </w:rPr>
        <w:t xml:space="preserve"> T, Stein MV, et al. Volume expansion mitigates Shiga toxin-producing E.coli-hemolytic uremic syndrome in children.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2024 Jun;39(6):1901-1907.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10.1007/s00467-02306276</w:t>
      </w:r>
      <w:r>
        <w:rPr>
          <w:rFonts w:asciiTheme="majorBidi" w:hAnsiTheme="majorBidi" w:cstheme="majorBidi"/>
          <w:color w:val="212121"/>
        </w:rPr>
        <w:t xml:space="preserve">.                                    </w:t>
      </w:r>
      <w:r w:rsidRPr="008E4182">
        <w:rPr>
          <w:rFonts w:asciiTheme="majorBidi" w:hAnsiTheme="majorBidi" w:cstheme="majorBidi"/>
          <w:color w:val="212121"/>
        </w:rPr>
        <w:t xml:space="preserve">  </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Rosales A, </w:t>
      </w:r>
      <w:proofErr w:type="spellStart"/>
      <w:r w:rsidRPr="008E4182">
        <w:rPr>
          <w:rFonts w:asciiTheme="majorBidi" w:hAnsiTheme="majorBidi" w:cstheme="majorBidi"/>
          <w:color w:val="212121"/>
        </w:rPr>
        <w:t>Kuppelwieser</w:t>
      </w:r>
      <w:proofErr w:type="spellEnd"/>
      <w:r w:rsidRPr="008E4182">
        <w:rPr>
          <w:rFonts w:asciiTheme="majorBidi" w:hAnsiTheme="majorBidi" w:cstheme="majorBidi"/>
          <w:color w:val="212121"/>
        </w:rPr>
        <w:t xml:space="preserve"> S, </w:t>
      </w:r>
      <w:proofErr w:type="spellStart"/>
      <w:r w:rsidRPr="008E4182">
        <w:rPr>
          <w:rFonts w:asciiTheme="majorBidi" w:hAnsiTheme="majorBidi" w:cstheme="majorBidi"/>
          <w:color w:val="212121"/>
        </w:rPr>
        <w:t>Giner</w:t>
      </w:r>
      <w:proofErr w:type="spellEnd"/>
      <w:r w:rsidRPr="008E4182">
        <w:rPr>
          <w:rFonts w:asciiTheme="majorBidi" w:hAnsiTheme="majorBidi" w:cstheme="majorBidi"/>
          <w:color w:val="212121"/>
        </w:rPr>
        <w:t xml:space="preserve"> T, Hofer J, </w:t>
      </w:r>
      <w:proofErr w:type="spellStart"/>
      <w:r w:rsidRPr="008E4182">
        <w:rPr>
          <w:rFonts w:asciiTheme="majorBidi" w:hAnsiTheme="majorBidi" w:cstheme="majorBidi"/>
          <w:color w:val="212121"/>
        </w:rPr>
        <w:t>Riedl</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Khursigara</w:t>
      </w:r>
      <w:proofErr w:type="spellEnd"/>
      <w:r w:rsidRPr="008E4182">
        <w:rPr>
          <w:rFonts w:asciiTheme="majorBidi" w:hAnsiTheme="majorBidi" w:cstheme="majorBidi"/>
          <w:color w:val="212121"/>
        </w:rPr>
        <w:t xml:space="preserve"> M et al,. Outcome 10 years after Shiga toxin-producing E. coli (STEC)-associated hemolytic uremic syndrome: importance of long-term follow-up.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2024 Aug;39(8):2459-2465.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10.1007/s00467-024-06355-z.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1B1B1B"/>
        </w:rPr>
        <w:t>Veesenmeyer</w:t>
      </w:r>
      <w:proofErr w:type="spellEnd"/>
      <w:r w:rsidRPr="008E4182">
        <w:rPr>
          <w:rFonts w:asciiTheme="majorBidi" w:hAnsiTheme="majorBidi" w:cstheme="majorBidi"/>
          <w:color w:val="1B1B1B"/>
        </w:rPr>
        <w:t xml:space="preserve"> AF, Edmonson MB. Trends in US hospital stays for Streptococcus pneumoniae-associated hemolytic uremic syndrome. </w:t>
      </w:r>
      <w:proofErr w:type="spellStart"/>
      <w:r w:rsidRPr="008E4182">
        <w:rPr>
          <w:rFonts w:asciiTheme="majorBidi" w:hAnsiTheme="majorBidi" w:cstheme="majorBidi"/>
          <w:color w:val="1B1B1B"/>
        </w:rPr>
        <w:t>Pediatr</w:t>
      </w:r>
      <w:proofErr w:type="spellEnd"/>
      <w:r w:rsidRPr="008E4182">
        <w:rPr>
          <w:rFonts w:asciiTheme="majorBidi" w:hAnsiTheme="majorBidi" w:cstheme="majorBidi"/>
          <w:color w:val="1B1B1B"/>
        </w:rPr>
        <w:t xml:space="preserve"> Infect Dis J. 2013;32(7):731–735.. 10.1097/INF.0b013e31828b31c8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1B1B1B"/>
        </w:rPr>
        <w:t>Fidan</w:t>
      </w:r>
      <w:proofErr w:type="spellEnd"/>
      <w:r w:rsidRPr="008E4182">
        <w:rPr>
          <w:rFonts w:asciiTheme="majorBidi" w:hAnsiTheme="majorBidi" w:cstheme="majorBidi"/>
          <w:color w:val="1B1B1B"/>
        </w:rPr>
        <w:t xml:space="preserve"> K, </w:t>
      </w:r>
      <w:proofErr w:type="spellStart"/>
      <w:r w:rsidRPr="008E4182">
        <w:rPr>
          <w:rFonts w:asciiTheme="majorBidi" w:hAnsiTheme="majorBidi" w:cstheme="majorBidi"/>
          <w:color w:val="1B1B1B"/>
        </w:rPr>
        <w:t>Göknar</w:t>
      </w:r>
      <w:proofErr w:type="spellEnd"/>
      <w:r w:rsidRPr="008E4182">
        <w:rPr>
          <w:rFonts w:asciiTheme="majorBidi" w:hAnsiTheme="majorBidi" w:cstheme="majorBidi"/>
          <w:color w:val="1B1B1B"/>
        </w:rPr>
        <w:t xml:space="preserve"> N, </w:t>
      </w:r>
      <w:proofErr w:type="spellStart"/>
      <w:r w:rsidRPr="008E4182">
        <w:rPr>
          <w:rFonts w:asciiTheme="majorBidi" w:hAnsiTheme="majorBidi" w:cstheme="majorBidi"/>
          <w:color w:val="1B1B1B"/>
        </w:rPr>
        <w:t>Gülhan</w:t>
      </w:r>
      <w:proofErr w:type="spellEnd"/>
      <w:r w:rsidRPr="008E4182">
        <w:rPr>
          <w:rFonts w:asciiTheme="majorBidi" w:hAnsiTheme="majorBidi" w:cstheme="majorBidi"/>
          <w:color w:val="1B1B1B"/>
        </w:rPr>
        <w:t xml:space="preserve"> B, </w:t>
      </w:r>
      <w:proofErr w:type="spellStart"/>
      <w:r w:rsidRPr="008E4182">
        <w:rPr>
          <w:rFonts w:asciiTheme="majorBidi" w:hAnsiTheme="majorBidi" w:cstheme="majorBidi"/>
          <w:color w:val="1B1B1B"/>
        </w:rPr>
        <w:t>Melek</w:t>
      </w:r>
      <w:proofErr w:type="spellEnd"/>
      <w:r w:rsidRPr="008E4182">
        <w:rPr>
          <w:rFonts w:asciiTheme="majorBidi" w:hAnsiTheme="majorBidi" w:cstheme="majorBidi"/>
          <w:color w:val="1B1B1B"/>
        </w:rPr>
        <w:t xml:space="preserve"> E, </w:t>
      </w:r>
      <w:proofErr w:type="spellStart"/>
      <w:r w:rsidRPr="008E4182">
        <w:rPr>
          <w:rFonts w:asciiTheme="majorBidi" w:hAnsiTheme="majorBidi" w:cstheme="majorBidi"/>
          <w:color w:val="1B1B1B"/>
        </w:rPr>
        <w:t>Yıldırım</w:t>
      </w:r>
      <w:proofErr w:type="spellEnd"/>
      <w:r w:rsidRPr="008E4182">
        <w:rPr>
          <w:rFonts w:asciiTheme="majorBidi" w:hAnsiTheme="majorBidi" w:cstheme="majorBidi"/>
          <w:color w:val="1B1B1B"/>
        </w:rPr>
        <w:t xml:space="preserve"> ZY, et al. Extra-Renal manifestations of atypical hemolytic uremic syndrome in children. </w:t>
      </w:r>
      <w:proofErr w:type="spellStart"/>
      <w:r w:rsidRPr="008E4182">
        <w:rPr>
          <w:rFonts w:asciiTheme="majorBidi" w:hAnsiTheme="majorBidi" w:cstheme="majorBidi"/>
          <w:color w:val="1B1B1B"/>
        </w:rPr>
        <w:t>Pediatr</w:t>
      </w:r>
      <w:proofErr w:type="spellEnd"/>
      <w:r w:rsidRPr="008E4182">
        <w:rPr>
          <w:rFonts w:asciiTheme="majorBidi" w:hAnsiTheme="majorBidi" w:cstheme="majorBidi"/>
          <w:color w:val="1B1B1B"/>
        </w:rPr>
        <w:t xml:space="preserve"> </w:t>
      </w:r>
      <w:proofErr w:type="spellStart"/>
      <w:r w:rsidRPr="008E4182">
        <w:rPr>
          <w:rFonts w:asciiTheme="majorBidi" w:hAnsiTheme="majorBidi" w:cstheme="majorBidi"/>
          <w:color w:val="1B1B1B"/>
        </w:rPr>
        <w:t>Nephrol</w:t>
      </w:r>
      <w:proofErr w:type="spellEnd"/>
      <w:r w:rsidRPr="008E4182">
        <w:rPr>
          <w:rFonts w:asciiTheme="majorBidi" w:hAnsiTheme="majorBidi" w:cstheme="majorBidi"/>
          <w:color w:val="1B1B1B"/>
        </w:rPr>
        <w:t xml:space="preserve"> 2018. Aug;33(8):1395-1403. 10.1007/s00467-018-3933-3. </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Leon J, </w:t>
      </w:r>
      <w:proofErr w:type="spellStart"/>
      <w:r w:rsidRPr="008E4182">
        <w:rPr>
          <w:rFonts w:asciiTheme="majorBidi" w:hAnsiTheme="majorBidi" w:cstheme="majorBidi"/>
          <w:color w:val="212121"/>
        </w:rPr>
        <w:t>LeStang</w:t>
      </w:r>
      <w:proofErr w:type="spellEnd"/>
      <w:r w:rsidRPr="008E4182">
        <w:rPr>
          <w:rFonts w:asciiTheme="majorBidi" w:hAnsiTheme="majorBidi" w:cstheme="majorBidi"/>
          <w:color w:val="212121"/>
        </w:rPr>
        <w:t xml:space="preserve"> MB, </w:t>
      </w:r>
      <w:proofErr w:type="spellStart"/>
      <w:r w:rsidRPr="008E4182">
        <w:rPr>
          <w:rFonts w:asciiTheme="majorBidi" w:hAnsiTheme="majorBidi" w:cstheme="majorBidi"/>
          <w:color w:val="212121"/>
        </w:rPr>
        <w:t>Sberro-Soussan</w:t>
      </w:r>
      <w:proofErr w:type="spellEnd"/>
      <w:r w:rsidRPr="008E4182">
        <w:rPr>
          <w:rFonts w:asciiTheme="majorBidi" w:hAnsiTheme="majorBidi" w:cstheme="majorBidi"/>
          <w:color w:val="212121"/>
        </w:rPr>
        <w:t xml:space="preserve"> R, </w:t>
      </w:r>
      <w:proofErr w:type="spellStart"/>
      <w:r w:rsidRPr="008E4182">
        <w:rPr>
          <w:rFonts w:asciiTheme="majorBidi" w:hAnsiTheme="majorBidi" w:cstheme="majorBidi"/>
          <w:color w:val="212121"/>
        </w:rPr>
        <w:t>Servais</w:t>
      </w:r>
      <w:proofErr w:type="spellEnd"/>
      <w:r w:rsidRPr="008E4182">
        <w:rPr>
          <w:rFonts w:asciiTheme="majorBidi" w:hAnsiTheme="majorBidi" w:cstheme="majorBidi"/>
          <w:color w:val="212121"/>
        </w:rPr>
        <w:t xml:space="preserve"> A, </w:t>
      </w:r>
      <w:proofErr w:type="spellStart"/>
      <w:r w:rsidRPr="008E4182">
        <w:rPr>
          <w:rFonts w:asciiTheme="majorBidi" w:hAnsiTheme="majorBidi" w:cstheme="majorBidi"/>
          <w:color w:val="212121"/>
        </w:rPr>
        <w:t>Anglicheau</w:t>
      </w:r>
      <w:proofErr w:type="spellEnd"/>
      <w:r w:rsidRPr="008E4182">
        <w:rPr>
          <w:rFonts w:asciiTheme="majorBidi" w:hAnsiTheme="majorBidi" w:cstheme="majorBidi"/>
          <w:color w:val="212121"/>
        </w:rPr>
        <w:t xml:space="preserve"> D, et al. Complement-driven hemolytic uremic syndrome. Am J </w:t>
      </w:r>
      <w:proofErr w:type="spellStart"/>
      <w:r w:rsidRPr="008E4182">
        <w:rPr>
          <w:rFonts w:asciiTheme="majorBidi" w:hAnsiTheme="majorBidi" w:cstheme="majorBidi"/>
          <w:color w:val="212121"/>
        </w:rPr>
        <w:t>Hematol</w:t>
      </w:r>
      <w:proofErr w:type="spellEnd"/>
      <w:r w:rsidRPr="008E4182">
        <w:rPr>
          <w:rFonts w:asciiTheme="majorBidi" w:hAnsiTheme="majorBidi" w:cstheme="majorBidi"/>
          <w:color w:val="212121"/>
        </w:rPr>
        <w:t xml:space="preserve">. 2023 May;98 </w:t>
      </w:r>
      <w:proofErr w:type="spellStart"/>
      <w:r w:rsidRPr="008E4182">
        <w:rPr>
          <w:rFonts w:asciiTheme="majorBidi" w:hAnsiTheme="majorBidi" w:cstheme="majorBidi"/>
          <w:color w:val="212121"/>
        </w:rPr>
        <w:t>Suppl</w:t>
      </w:r>
      <w:proofErr w:type="spellEnd"/>
      <w:r w:rsidRPr="008E4182">
        <w:rPr>
          <w:rFonts w:asciiTheme="majorBidi" w:hAnsiTheme="majorBidi" w:cstheme="majorBidi"/>
          <w:color w:val="212121"/>
        </w:rPr>
        <w:t xml:space="preserve"> 4:S44-S56.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10.1002/ajh.26854. PMID: 36683290 </w:t>
      </w:r>
    </w:p>
    <w:p w:rsidR="009A769D" w:rsidRPr="00B7524F" w:rsidRDefault="009A769D" w:rsidP="00B7524F">
      <w:pPr>
        <w:numPr>
          <w:ilvl w:val="0"/>
          <w:numId w:val="3"/>
        </w:numPr>
        <w:spacing w:after="0" w:line="276" w:lineRule="auto"/>
        <w:ind w:left="360" w:hanging="360"/>
        <w:rPr>
          <w:rFonts w:asciiTheme="majorBidi" w:hAnsiTheme="majorBidi" w:cstheme="majorBidi"/>
        </w:rPr>
      </w:pPr>
      <w:r w:rsidRPr="00B7524F">
        <w:rPr>
          <w:rFonts w:asciiTheme="majorBidi" w:hAnsiTheme="majorBidi" w:cstheme="majorBidi"/>
          <w:color w:val="212121"/>
        </w:rPr>
        <w:t xml:space="preserve">Richards S, Aziz N, Bale S, Bick D, Das S, et al. Standards and guidelines for the interpretation of sequence variants: a joint consensus recommendation of the American College of Medical Genetics and Genomics and the Association for </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 xml:space="preserve">Molecular </w:t>
      </w:r>
      <w:r w:rsidRPr="00B7524F">
        <w:rPr>
          <w:rFonts w:asciiTheme="majorBidi" w:hAnsiTheme="majorBidi" w:cstheme="majorBidi"/>
          <w:color w:val="212121"/>
        </w:rPr>
        <w:tab/>
        <w:t xml:space="preserve">Pathology. </w:t>
      </w:r>
      <w:r w:rsidRPr="00B7524F">
        <w:rPr>
          <w:rFonts w:asciiTheme="majorBidi" w:hAnsiTheme="majorBidi" w:cstheme="majorBidi"/>
          <w:color w:val="212121"/>
        </w:rPr>
        <w:tab/>
        <w:t xml:space="preserve">Genet </w:t>
      </w:r>
      <w:r w:rsidRPr="00B7524F">
        <w:rPr>
          <w:rFonts w:asciiTheme="majorBidi" w:hAnsiTheme="majorBidi" w:cstheme="majorBidi"/>
          <w:color w:val="212121"/>
        </w:rPr>
        <w:tab/>
        <w:t xml:space="preserve">Med. </w:t>
      </w:r>
      <w:r w:rsidRPr="00B7524F">
        <w:rPr>
          <w:rFonts w:asciiTheme="majorBidi" w:hAnsiTheme="majorBidi" w:cstheme="majorBidi"/>
          <w:color w:val="212121"/>
        </w:rPr>
        <w:tab/>
        <w:t xml:space="preserve">2015 </w:t>
      </w:r>
      <w:r w:rsidRPr="00B7524F">
        <w:rPr>
          <w:rFonts w:asciiTheme="majorBidi" w:hAnsiTheme="majorBidi" w:cstheme="majorBidi"/>
          <w:color w:val="212121"/>
        </w:rPr>
        <w:tab/>
        <w:t xml:space="preserve">May;17(5):405-24. </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ab/>
      </w:r>
      <w:proofErr w:type="spellStart"/>
      <w:r w:rsidRPr="00B7524F">
        <w:rPr>
          <w:rFonts w:asciiTheme="majorBidi" w:hAnsiTheme="majorBidi" w:cstheme="majorBidi"/>
          <w:color w:val="212121"/>
        </w:rPr>
        <w:t>doi</w:t>
      </w:r>
      <w:proofErr w:type="spellEnd"/>
      <w:r w:rsidRPr="00B7524F">
        <w:rPr>
          <w:rFonts w:asciiTheme="majorBidi" w:hAnsiTheme="majorBidi" w:cstheme="majorBidi"/>
          <w:color w:val="212121"/>
        </w:rPr>
        <w:t>: 10.1038/gim.2015.30.</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Martín </w:t>
      </w:r>
      <w:proofErr w:type="spellStart"/>
      <w:r w:rsidRPr="008E4182">
        <w:rPr>
          <w:rFonts w:asciiTheme="majorBidi" w:hAnsiTheme="majorBidi" w:cstheme="majorBidi"/>
          <w:color w:val="212121"/>
        </w:rPr>
        <w:t>Merinero</w:t>
      </w:r>
      <w:proofErr w:type="spellEnd"/>
      <w:r w:rsidRPr="008E4182">
        <w:rPr>
          <w:rFonts w:asciiTheme="majorBidi" w:hAnsiTheme="majorBidi" w:cstheme="majorBidi"/>
          <w:color w:val="212121"/>
        </w:rPr>
        <w:t xml:space="preserve"> H, Zhang Y, </w:t>
      </w:r>
      <w:proofErr w:type="spellStart"/>
      <w:r w:rsidRPr="008E4182">
        <w:rPr>
          <w:rFonts w:asciiTheme="majorBidi" w:hAnsiTheme="majorBidi" w:cstheme="majorBidi"/>
          <w:color w:val="212121"/>
        </w:rPr>
        <w:t>Arjona</w:t>
      </w:r>
      <w:proofErr w:type="spellEnd"/>
      <w:r w:rsidRPr="008E4182">
        <w:rPr>
          <w:rFonts w:asciiTheme="majorBidi" w:hAnsiTheme="majorBidi" w:cstheme="majorBidi"/>
          <w:color w:val="212121"/>
        </w:rPr>
        <w:t xml:space="preserve"> E, Del Angel G, </w:t>
      </w:r>
      <w:proofErr w:type="spellStart"/>
      <w:r w:rsidRPr="008E4182">
        <w:rPr>
          <w:rFonts w:asciiTheme="majorBidi" w:hAnsiTheme="majorBidi" w:cstheme="majorBidi"/>
          <w:color w:val="212121"/>
        </w:rPr>
        <w:t>Goodfellow</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R,et</w:t>
      </w:r>
      <w:proofErr w:type="spellEnd"/>
      <w:r w:rsidRPr="008E4182">
        <w:rPr>
          <w:rFonts w:asciiTheme="majorBidi" w:hAnsiTheme="majorBidi" w:cstheme="majorBidi"/>
          <w:color w:val="212121"/>
        </w:rPr>
        <w:t xml:space="preserve"> al. Functional characterization of 105 factor H variants associated with </w:t>
      </w:r>
      <w:proofErr w:type="spellStart"/>
      <w:r w:rsidRPr="008E4182">
        <w:rPr>
          <w:rFonts w:asciiTheme="majorBidi" w:hAnsiTheme="majorBidi" w:cstheme="majorBidi"/>
          <w:color w:val="212121"/>
        </w:rPr>
        <w:t>aHUS</w:t>
      </w:r>
      <w:proofErr w:type="spellEnd"/>
      <w:r w:rsidRPr="008E4182">
        <w:rPr>
          <w:rFonts w:asciiTheme="majorBidi" w:hAnsiTheme="majorBidi" w:cstheme="majorBidi"/>
          <w:color w:val="212121"/>
        </w:rPr>
        <w:t xml:space="preserve">: lessons for variant classification. Blood. 2021 Dec 2;138(22):2185-2201.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10.1182/blood.2021012037.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333333"/>
        </w:rPr>
        <w:t>Vujović</w:t>
      </w:r>
      <w:proofErr w:type="spellEnd"/>
      <w:r w:rsidRPr="008E4182">
        <w:rPr>
          <w:rFonts w:asciiTheme="majorBidi" w:hAnsiTheme="majorBidi" w:cstheme="majorBidi"/>
          <w:color w:val="333333"/>
        </w:rPr>
        <w:t xml:space="preserve">, </w:t>
      </w:r>
      <w:proofErr w:type="spellStart"/>
      <w:r w:rsidRPr="008E4182">
        <w:rPr>
          <w:rFonts w:asciiTheme="majorBidi" w:hAnsiTheme="majorBidi" w:cstheme="majorBidi"/>
          <w:color w:val="333333"/>
        </w:rPr>
        <w:t>Aleksandravan</w:t>
      </w:r>
      <w:proofErr w:type="spellEnd"/>
      <w:r w:rsidRPr="008E4182">
        <w:rPr>
          <w:rFonts w:asciiTheme="majorBidi" w:hAnsiTheme="majorBidi" w:cstheme="majorBidi"/>
          <w:color w:val="333333"/>
        </w:rPr>
        <w:t xml:space="preserve"> de </w:t>
      </w:r>
      <w:proofErr w:type="spellStart"/>
      <w:r w:rsidRPr="008E4182">
        <w:rPr>
          <w:rFonts w:asciiTheme="majorBidi" w:hAnsiTheme="majorBidi" w:cstheme="majorBidi"/>
          <w:color w:val="333333"/>
        </w:rPr>
        <w:t>Kar</w:t>
      </w:r>
      <w:proofErr w:type="spellEnd"/>
      <w:r w:rsidRPr="008E4182">
        <w:rPr>
          <w:rFonts w:asciiTheme="majorBidi" w:hAnsiTheme="majorBidi" w:cstheme="majorBidi"/>
          <w:color w:val="333333"/>
        </w:rPr>
        <w:t>, Nicole C.A.J. et al.</w:t>
      </w:r>
      <w:r w:rsidRPr="008E4182">
        <w:rPr>
          <w:rFonts w:asciiTheme="majorBidi" w:hAnsiTheme="majorBidi" w:cstheme="majorBidi"/>
          <w:color w:val="666666"/>
        </w:rPr>
        <w:t xml:space="preserve"> Real-world use of complement inhibitors for </w:t>
      </w:r>
      <w:proofErr w:type="spellStart"/>
      <w:r w:rsidRPr="008E4182">
        <w:rPr>
          <w:rFonts w:asciiTheme="majorBidi" w:hAnsiTheme="majorBidi" w:cstheme="majorBidi"/>
          <w:color w:val="666666"/>
        </w:rPr>
        <w:t>haemolytic</w:t>
      </w:r>
      <w:proofErr w:type="spellEnd"/>
      <w:r w:rsidRPr="008E4182">
        <w:rPr>
          <w:rFonts w:asciiTheme="majorBidi" w:hAnsiTheme="majorBidi" w:cstheme="majorBidi"/>
          <w:color w:val="666666"/>
        </w:rPr>
        <w:t xml:space="preserve"> </w:t>
      </w:r>
      <w:proofErr w:type="spellStart"/>
      <w:r w:rsidRPr="008E4182">
        <w:rPr>
          <w:rFonts w:asciiTheme="majorBidi" w:hAnsiTheme="majorBidi" w:cstheme="majorBidi"/>
          <w:color w:val="666666"/>
        </w:rPr>
        <w:t>uraemic</w:t>
      </w:r>
      <w:proofErr w:type="spellEnd"/>
      <w:r w:rsidRPr="008E4182">
        <w:rPr>
          <w:rFonts w:asciiTheme="majorBidi" w:hAnsiTheme="majorBidi" w:cstheme="majorBidi"/>
          <w:color w:val="666666"/>
        </w:rPr>
        <w:t xml:space="preserve"> syndrome: an analysis of the European Rare Kidney Disease Registry cohort</w:t>
      </w:r>
      <w:r w:rsidRPr="008E4182">
        <w:rPr>
          <w:rFonts w:asciiTheme="majorBidi" w:hAnsiTheme="majorBidi" w:cstheme="majorBidi"/>
          <w:color w:val="333333"/>
        </w:rPr>
        <w:t xml:space="preserve"> (2025)</w:t>
      </w:r>
      <w:proofErr w:type="spellStart"/>
      <w:r w:rsidRPr="008E4182">
        <w:rPr>
          <w:rFonts w:asciiTheme="majorBidi" w:hAnsiTheme="majorBidi" w:cstheme="majorBidi"/>
          <w:color w:val="333333"/>
        </w:rPr>
        <w:t>ClinicalMedicine</w:t>
      </w:r>
      <w:proofErr w:type="spellEnd"/>
      <w:r w:rsidRPr="008E4182">
        <w:rPr>
          <w:rFonts w:asciiTheme="majorBidi" w:hAnsiTheme="majorBidi" w:cstheme="majorBidi"/>
          <w:color w:val="333333"/>
        </w:rPr>
        <w:t>, Volume 82, 103159</w:t>
      </w:r>
      <w:r>
        <w:rPr>
          <w:rFonts w:asciiTheme="majorBidi" w:hAnsiTheme="majorBidi" w:cstheme="majorBidi"/>
          <w:color w:val="333333"/>
        </w:rPr>
        <w:t>.</w:t>
      </w:r>
      <w:r w:rsidRPr="008E4182">
        <w:rPr>
          <w:rFonts w:asciiTheme="majorBidi" w:hAnsiTheme="majorBidi" w:cstheme="majorBidi"/>
          <w:color w:val="333333"/>
        </w:rPr>
        <w:t xml:space="preserve"> </w:t>
      </w:r>
    </w:p>
    <w:p w:rsidR="009A769D" w:rsidRDefault="009A769D" w:rsidP="00B7524F">
      <w:pPr>
        <w:spacing w:after="0" w:line="276" w:lineRule="auto"/>
        <w:ind w:left="360" w:hanging="360"/>
        <w:rPr>
          <w:rFonts w:asciiTheme="majorBidi" w:hAnsiTheme="majorBidi" w:cstheme="majorBidi"/>
          <w:color w:val="333333"/>
        </w:rPr>
      </w:pPr>
    </w:p>
    <w:p w:rsidR="009A769D" w:rsidRPr="008E4182" w:rsidRDefault="009A769D" w:rsidP="00B7524F">
      <w:pPr>
        <w:spacing w:after="0" w:line="276" w:lineRule="auto"/>
        <w:ind w:left="360" w:hanging="360"/>
        <w:rPr>
          <w:rFonts w:asciiTheme="majorBidi" w:hAnsiTheme="majorBidi" w:cstheme="majorBidi"/>
        </w:rPr>
      </w:pPr>
    </w:p>
    <w:p w:rsidR="009A769D" w:rsidRPr="00B7524F" w:rsidRDefault="009A769D" w:rsidP="00B7524F">
      <w:pPr>
        <w:numPr>
          <w:ilvl w:val="0"/>
          <w:numId w:val="3"/>
        </w:numPr>
        <w:spacing w:after="0" w:line="276" w:lineRule="auto"/>
        <w:ind w:left="360" w:hanging="360"/>
        <w:rPr>
          <w:rFonts w:asciiTheme="majorBidi" w:hAnsiTheme="majorBidi" w:cstheme="majorBidi"/>
        </w:rPr>
      </w:pPr>
      <w:proofErr w:type="spellStart"/>
      <w:r w:rsidRPr="00B7524F">
        <w:rPr>
          <w:rFonts w:asciiTheme="majorBidi" w:hAnsiTheme="majorBidi" w:cstheme="majorBidi"/>
          <w:color w:val="333333"/>
        </w:rPr>
        <w:t>Zamzam</w:t>
      </w:r>
      <w:proofErr w:type="spellEnd"/>
      <w:r w:rsidRPr="00B7524F">
        <w:rPr>
          <w:rFonts w:asciiTheme="majorBidi" w:hAnsiTheme="majorBidi" w:cstheme="majorBidi"/>
          <w:color w:val="333333"/>
        </w:rPr>
        <w:t xml:space="preserve">, S., Abdel Hameed, A., </w:t>
      </w:r>
      <w:proofErr w:type="spellStart"/>
      <w:r w:rsidRPr="00B7524F">
        <w:rPr>
          <w:rFonts w:asciiTheme="majorBidi" w:hAnsiTheme="majorBidi" w:cstheme="majorBidi"/>
          <w:color w:val="333333"/>
        </w:rPr>
        <w:t>Khalifa</w:t>
      </w:r>
      <w:proofErr w:type="spellEnd"/>
      <w:r w:rsidRPr="00B7524F">
        <w:rPr>
          <w:rFonts w:asciiTheme="majorBidi" w:hAnsiTheme="majorBidi" w:cstheme="majorBidi"/>
          <w:color w:val="333333"/>
        </w:rPr>
        <w:t xml:space="preserve">, N., </w:t>
      </w:r>
      <w:proofErr w:type="spellStart"/>
      <w:r w:rsidRPr="00B7524F">
        <w:rPr>
          <w:rFonts w:asciiTheme="majorBidi" w:hAnsiTheme="majorBidi" w:cstheme="majorBidi"/>
          <w:color w:val="333333"/>
        </w:rPr>
        <w:t>Tolba</w:t>
      </w:r>
      <w:proofErr w:type="spellEnd"/>
      <w:r w:rsidRPr="00B7524F">
        <w:rPr>
          <w:rFonts w:asciiTheme="majorBidi" w:hAnsiTheme="majorBidi" w:cstheme="majorBidi"/>
          <w:color w:val="333333"/>
        </w:rPr>
        <w:t xml:space="preserve">, S. ANNUAL INCIDENCE </w:t>
      </w:r>
      <w:r w:rsidR="00B7524F" w:rsidRPr="00B7524F">
        <w:rPr>
          <w:rFonts w:asciiTheme="majorBidi" w:hAnsiTheme="majorBidi" w:cstheme="majorBidi"/>
          <w:color w:val="333333"/>
        </w:rPr>
        <w:t xml:space="preserve"> </w:t>
      </w:r>
      <w:r w:rsidRPr="00B7524F">
        <w:rPr>
          <w:rFonts w:asciiTheme="majorBidi" w:hAnsiTheme="majorBidi" w:cstheme="majorBidi"/>
          <w:color w:val="333333"/>
        </w:rPr>
        <w:t xml:space="preserve">AND CLINICO-LABORATORY STUDY OF HEMOLYTIC UREMIC SYNDROME AMONG ATTENDANTS OF PEDIATRIC ZAGAZIG </w:t>
      </w:r>
      <w:r w:rsidR="00B7524F" w:rsidRPr="00B7524F">
        <w:rPr>
          <w:rFonts w:asciiTheme="majorBidi" w:hAnsiTheme="majorBidi" w:cstheme="majorBidi"/>
          <w:color w:val="333333"/>
        </w:rPr>
        <w:t xml:space="preserve"> </w:t>
      </w:r>
      <w:r w:rsidRPr="00B7524F">
        <w:rPr>
          <w:rFonts w:asciiTheme="majorBidi" w:hAnsiTheme="majorBidi" w:cstheme="majorBidi"/>
          <w:color w:val="333333"/>
        </w:rPr>
        <w:t xml:space="preserve">UNIVERSITY HOSPITAL.. </w:t>
      </w:r>
      <w:proofErr w:type="spellStart"/>
      <w:r w:rsidRPr="00B7524F">
        <w:rPr>
          <w:rFonts w:asciiTheme="majorBidi" w:hAnsiTheme="majorBidi" w:cstheme="majorBidi"/>
          <w:color w:val="333333"/>
        </w:rPr>
        <w:t>Zagazig</w:t>
      </w:r>
      <w:proofErr w:type="spellEnd"/>
      <w:r w:rsidRPr="00B7524F">
        <w:rPr>
          <w:rFonts w:asciiTheme="majorBidi" w:hAnsiTheme="majorBidi" w:cstheme="majorBidi"/>
          <w:color w:val="333333"/>
        </w:rPr>
        <w:t xml:space="preserve"> University Medical Journal, 2016; 22(5): 1-</w:t>
      </w:r>
      <w:r w:rsidR="00B7524F" w:rsidRPr="00B7524F">
        <w:rPr>
          <w:rFonts w:asciiTheme="majorBidi" w:hAnsiTheme="majorBidi" w:cstheme="majorBidi"/>
          <w:color w:val="333333"/>
        </w:rPr>
        <w:t xml:space="preserve"> </w:t>
      </w:r>
      <w:r w:rsidRPr="00B7524F">
        <w:rPr>
          <w:rFonts w:asciiTheme="majorBidi" w:hAnsiTheme="majorBidi" w:cstheme="majorBidi"/>
          <w:color w:val="333333"/>
        </w:rPr>
        <w:t xml:space="preserve">12. </w:t>
      </w:r>
      <w:proofErr w:type="spellStart"/>
      <w:r w:rsidRPr="00B7524F">
        <w:rPr>
          <w:rFonts w:asciiTheme="majorBidi" w:hAnsiTheme="majorBidi" w:cstheme="majorBidi"/>
          <w:color w:val="333333"/>
        </w:rPr>
        <w:t>doi</w:t>
      </w:r>
      <w:proofErr w:type="spellEnd"/>
      <w:r w:rsidRPr="00B7524F">
        <w:rPr>
          <w:rFonts w:asciiTheme="majorBidi" w:hAnsiTheme="majorBidi" w:cstheme="majorBidi"/>
          <w:color w:val="333333"/>
        </w:rPr>
        <w:t xml:space="preserve">: 10.21608/zumj.2016.4668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rPr>
        <w:t>Saraç</w:t>
      </w:r>
      <w:proofErr w:type="spellEnd"/>
      <w:r w:rsidRPr="008E4182">
        <w:rPr>
          <w:rFonts w:asciiTheme="majorBidi" w:hAnsiTheme="majorBidi" w:cstheme="majorBidi"/>
        </w:rPr>
        <w:t xml:space="preserve"> U, </w:t>
      </w:r>
      <w:proofErr w:type="spellStart"/>
      <w:r w:rsidRPr="008E4182">
        <w:rPr>
          <w:rFonts w:asciiTheme="majorBidi" w:hAnsiTheme="majorBidi" w:cstheme="majorBidi"/>
        </w:rPr>
        <w:t>Akkuş</w:t>
      </w:r>
      <w:proofErr w:type="spellEnd"/>
      <w:r w:rsidRPr="008E4182">
        <w:rPr>
          <w:rFonts w:asciiTheme="majorBidi" w:hAnsiTheme="majorBidi" w:cstheme="majorBidi"/>
        </w:rPr>
        <w:t xml:space="preserve"> A, </w:t>
      </w:r>
      <w:proofErr w:type="spellStart"/>
      <w:r w:rsidRPr="008E4182">
        <w:rPr>
          <w:rFonts w:asciiTheme="majorBidi" w:hAnsiTheme="majorBidi" w:cstheme="majorBidi"/>
        </w:rPr>
        <w:t>Ataş</w:t>
      </w:r>
      <w:proofErr w:type="spellEnd"/>
      <w:r w:rsidRPr="008E4182">
        <w:rPr>
          <w:rFonts w:asciiTheme="majorBidi" w:hAnsiTheme="majorBidi" w:cstheme="majorBidi"/>
        </w:rPr>
        <w:t xml:space="preserve"> B. Evaluation of patients with hemolytic uremic syndrome. J </w:t>
      </w:r>
      <w:proofErr w:type="spellStart"/>
      <w:r w:rsidRPr="008E4182">
        <w:rPr>
          <w:rFonts w:asciiTheme="majorBidi" w:hAnsiTheme="majorBidi" w:cstheme="majorBidi"/>
        </w:rPr>
        <w:t>Curr</w:t>
      </w:r>
      <w:proofErr w:type="spellEnd"/>
      <w:r w:rsidRPr="008E4182">
        <w:rPr>
          <w:rFonts w:asciiTheme="majorBidi" w:hAnsiTheme="majorBidi" w:cstheme="majorBidi"/>
        </w:rPr>
        <w:t xml:space="preserve"> </w:t>
      </w:r>
      <w:proofErr w:type="spellStart"/>
      <w:r w:rsidRPr="008E4182">
        <w:rPr>
          <w:rFonts w:asciiTheme="majorBidi" w:hAnsiTheme="majorBidi" w:cstheme="majorBidi"/>
        </w:rPr>
        <w:t>Pediatr</w:t>
      </w:r>
      <w:proofErr w:type="spellEnd"/>
      <w:r w:rsidRPr="008E4182">
        <w:rPr>
          <w:rFonts w:asciiTheme="majorBidi" w:hAnsiTheme="majorBidi" w:cstheme="majorBidi"/>
        </w:rPr>
        <w:t>. 2025;23:39-49 .</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Elliott EJ, Robins-Browne RM. Hemolytic uremic syndrome. </w:t>
      </w:r>
      <w:proofErr w:type="spellStart"/>
      <w:r w:rsidRPr="008E4182">
        <w:rPr>
          <w:rFonts w:asciiTheme="majorBidi" w:hAnsiTheme="majorBidi" w:cstheme="majorBidi"/>
          <w:color w:val="212121"/>
        </w:rPr>
        <w:t>Curr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Probl</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Adolesc</w:t>
      </w:r>
      <w:proofErr w:type="spellEnd"/>
      <w:r w:rsidRPr="008E4182">
        <w:rPr>
          <w:rFonts w:asciiTheme="majorBidi" w:hAnsiTheme="majorBidi" w:cstheme="majorBidi"/>
          <w:color w:val="212121"/>
        </w:rPr>
        <w:t xml:space="preserve"> Health Care. 2005 Sep;35(8):310-30.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10.1016/j.cppeds.2005.06.002</w:t>
      </w:r>
    </w:p>
    <w:p w:rsidR="009A769D" w:rsidRPr="00B7524F" w:rsidRDefault="009A769D" w:rsidP="00B7524F">
      <w:pPr>
        <w:numPr>
          <w:ilvl w:val="0"/>
          <w:numId w:val="3"/>
        </w:numPr>
        <w:spacing w:after="0" w:line="276" w:lineRule="auto"/>
        <w:ind w:left="360" w:hanging="360"/>
        <w:rPr>
          <w:rFonts w:asciiTheme="majorBidi" w:hAnsiTheme="majorBidi" w:cstheme="majorBidi"/>
        </w:rPr>
      </w:pPr>
      <w:proofErr w:type="spellStart"/>
      <w:r w:rsidRPr="00B7524F">
        <w:rPr>
          <w:rFonts w:asciiTheme="majorBidi" w:hAnsiTheme="majorBidi" w:cstheme="majorBidi"/>
          <w:color w:val="333333"/>
        </w:rPr>
        <w:t>Gehad</w:t>
      </w:r>
      <w:proofErr w:type="spellEnd"/>
      <w:r w:rsidRPr="00B7524F">
        <w:rPr>
          <w:rFonts w:asciiTheme="majorBidi" w:hAnsiTheme="majorBidi" w:cstheme="majorBidi"/>
          <w:color w:val="333333"/>
        </w:rPr>
        <w:t xml:space="preserve">, M., Youssef, D., </w:t>
      </w:r>
      <w:proofErr w:type="spellStart"/>
      <w:r w:rsidRPr="00B7524F">
        <w:rPr>
          <w:rFonts w:asciiTheme="majorBidi" w:hAnsiTheme="majorBidi" w:cstheme="majorBidi"/>
          <w:color w:val="333333"/>
        </w:rPr>
        <w:t>Melad</w:t>
      </w:r>
      <w:proofErr w:type="spellEnd"/>
      <w:r w:rsidRPr="00B7524F">
        <w:rPr>
          <w:rFonts w:asciiTheme="majorBidi" w:hAnsiTheme="majorBidi" w:cstheme="majorBidi"/>
          <w:color w:val="333333"/>
        </w:rPr>
        <w:t xml:space="preserve">, S., </w:t>
      </w:r>
      <w:proofErr w:type="spellStart"/>
      <w:r w:rsidRPr="00B7524F">
        <w:rPr>
          <w:rFonts w:asciiTheme="majorBidi" w:hAnsiTheme="majorBidi" w:cstheme="majorBidi"/>
          <w:color w:val="333333"/>
        </w:rPr>
        <w:t>Zidan</w:t>
      </w:r>
      <w:proofErr w:type="spellEnd"/>
      <w:r w:rsidRPr="00B7524F">
        <w:rPr>
          <w:rFonts w:asciiTheme="majorBidi" w:hAnsiTheme="majorBidi" w:cstheme="majorBidi"/>
          <w:color w:val="333333"/>
        </w:rPr>
        <w:t xml:space="preserve">, A., </w:t>
      </w:r>
      <w:proofErr w:type="spellStart"/>
      <w:r w:rsidRPr="00B7524F">
        <w:rPr>
          <w:rFonts w:asciiTheme="majorBidi" w:hAnsiTheme="majorBidi" w:cstheme="majorBidi"/>
          <w:color w:val="333333"/>
        </w:rPr>
        <w:t>Neemat</w:t>
      </w:r>
      <w:proofErr w:type="spellEnd"/>
      <w:r w:rsidRPr="00B7524F">
        <w:rPr>
          <w:rFonts w:asciiTheme="majorBidi" w:hAnsiTheme="majorBidi" w:cstheme="majorBidi"/>
          <w:color w:val="333333"/>
        </w:rPr>
        <w:t xml:space="preserve">-Allah, M. Clinical </w:t>
      </w:r>
      <w:r w:rsidR="00B7524F" w:rsidRPr="00B7524F">
        <w:rPr>
          <w:rFonts w:asciiTheme="majorBidi" w:hAnsiTheme="majorBidi" w:cstheme="majorBidi"/>
          <w:color w:val="333333"/>
        </w:rPr>
        <w:t xml:space="preserve"> </w:t>
      </w:r>
      <w:r w:rsidRPr="00B7524F">
        <w:rPr>
          <w:rFonts w:asciiTheme="majorBidi" w:hAnsiTheme="majorBidi" w:cstheme="majorBidi"/>
          <w:color w:val="333333"/>
        </w:rPr>
        <w:t xml:space="preserve">Characteristics and Outcome of children with Hemolytic Uremic Syndrome. </w:t>
      </w:r>
      <w:proofErr w:type="spellStart"/>
      <w:r w:rsidRPr="00B7524F">
        <w:rPr>
          <w:rFonts w:asciiTheme="majorBidi" w:hAnsiTheme="majorBidi" w:cstheme="majorBidi"/>
          <w:color w:val="333333"/>
        </w:rPr>
        <w:t>Zagazig</w:t>
      </w:r>
      <w:proofErr w:type="spellEnd"/>
      <w:r w:rsidRPr="00B7524F">
        <w:rPr>
          <w:rFonts w:asciiTheme="majorBidi" w:hAnsiTheme="majorBidi" w:cstheme="majorBidi"/>
          <w:color w:val="333333"/>
        </w:rPr>
        <w:t xml:space="preserve"> University Medical Journal, 2023; 29(4): 1107-1114. </w:t>
      </w:r>
      <w:proofErr w:type="spellStart"/>
      <w:r w:rsidRPr="00B7524F">
        <w:rPr>
          <w:rFonts w:asciiTheme="majorBidi" w:hAnsiTheme="majorBidi" w:cstheme="majorBidi"/>
          <w:color w:val="333333"/>
        </w:rPr>
        <w:t>doi</w:t>
      </w:r>
      <w:proofErr w:type="spellEnd"/>
      <w:r w:rsidRPr="00B7524F">
        <w:rPr>
          <w:rFonts w:asciiTheme="majorBidi" w:hAnsiTheme="majorBidi" w:cstheme="majorBidi"/>
          <w:color w:val="333333"/>
        </w:rPr>
        <w:t xml:space="preserve">: 10.21608/zumj.2023.200430.2770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Zagożdżon</w:t>
      </w:r>
      <w:proofErr w:type="spellEnd"/>
      <w:r w:rsidRPr="008E4182">
        <w:rPr>
          <w:rFonts w:asciiTheme="majorBidi" w:hAnsiTheme="majorBidi" w:cstheme="majorBidi"/>
          <w:color w:val="212121"/>
        </w:rPr>
        <w:t xml:space="preserve"> I, </w:t>
      </w:r>
      <w:proofErr w:type="spellStart"/>
      <w:r w:rsidRPr="008E4182">
        <w:rPr>
          <w:rFonts w:asciiTheme="majorBidi" w:hAnsiTheme="majorBidi" w:cstheme="majorBidi"/>
          <w:color w:val="212121"/>
        </w:rPr>
        <w:t>Szczepańska</w:t>
      </w:r>
      <w:proofErr w:type="spellEnd"/>
      <w:r w:rsidRPr="008E4182">
        <w:rPr>
          <w:rFonts w:asciiTheme="majorBidi" w:hAnsiTheme="majorBidi" w:cstheme="majorBidi"/>
          <w:color w:val="212121"/>
        </w:rPr>
        <w:t xml:space="preserve"> M, Rubik J, </w:t>
      </w:r>
      <w:proofErr w:type="spellStart"/>
      <w:r w:rsidRPr="008E4182">
        <w:rPr>
          <w:rFonts w:asciiTheme="majorBidi" w:hAnsiTheme="majorBidi" w:cstheme="majorBidi"/>
          <w:color w:val="212121"/>
        </w:rPr>
        <w:t>Zachwieja</w:t>
      </w:r>
      <w:proofErr w:type="spellEnd"/>
      <w:r w:rsidRPr="008E4182">
        <w:rPr>
          <w:rFonts w:asciiTheme="majorBidi" w:hAnsiTheme="majorBidi" w:cstheme="majorBidi"/>
          <w:color w:val="212121"/>
        </w:rPr>
        <w:t xml:space="preserve"> K, </w:t>
      </w:r>
      <w:proofErr w:type="spellStart"/>
      <w:r w:rsidRPr="008E4182">
        <w:rPr>
          <w:rFonts w:asciiTheme="majorBidi" w:hAnsiTheme="majorBidi" w:cstheme="majorBidi"/>
          <w:color w:val="212121"/>
        </w:rPr>
        <w:t>Musielak</w:t>
      </w:r>
      <w:proofErr w:type="spellEnd"/>
      <w:r w:rsidRPr="008E4182">
        <w:rPr>
          <w:rFonts w:asciiTheme="majorBidi" w:hAnsiTheme="majorBidi" w:cstheme="majorBidi"/>
          <w:color w:val="212121"/>
        </w:rPr>
        <w:t xml:space="preserve"> A, et al. </w:t>
      </w:r>
      <w:proofErr w:type="spellStart"/>
      <w:r w:rsidRPr="008E4182">
        <w:rPr>
          <w:rFonts w:asciiTheme="majorBidi" w:hAnsiTheme="majorBidi" w:cstheme="majorBidi"/>
          <w:color w:val="212121"/>
        </w:rPr>
        <w:t>Haemolytic</w:t>
      </w:r>
      <w:proofErr w:type="spellEnd"/>
      <w:r w:rsidRPr="008E4182">
        <w:rPr>
          <w:rFonts w:asciiTheme="majorBidi" w:hAnsiTheme="majorBidi" w:cstheme="majorBidi"/>
          <w:color w:val="212121"/>
        </w:rPr>
        <w:t xml:space="preserve"> uremic syndrome as a cause of chronic kidney disease stage 5 in children is in retreat: results from the Polish Registry of Kidney Replacement Therapy in children (2000-2023).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2025 Apr;40(4):1069-1079.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10.1007/s00467-024-06584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Vaterodt</w:t>
      </w:r>
      <w:proofErr w:type="spellEnd"/>
      <w:r w:rsidRPr="008E4182">
        <w:rPr>
          <w:rFonts w:asciiTheme="majorBidi" w:hAnsiTheme="majorBidi" w:cstheme="majorBidi"/>
          <w:color w:val="212121"/>
        </w:rPr>
        <w:t xml:space="preserve"> L, </w:t>
      </w:r>
      <w:proofErr w:type="spellStart"/>
      <w:r w:rsidRPr="008E4182">
        <w:rPr>
          <w:rFonts w:asciiTheme="majorBidi" w:hAnsiTheme="majorBidi" w:cstheme="majorBidi"/>
          <w:color w:val="212121"/>
        </w:rPr>
        <w:t>Holle</w:t>
      </w:r>
      <w:proofErr w:type="spellEnd"/>
      <w:r w:rsidRPr="008E4182">
        <w:rPr>
          <w:rFonts w:asciiTheme="majorBidi" w:hAnsiTheme="majorBidi" w:cstheme="majorBidi"/>
          <w:color w:val="212121"/>
        </w:rPr>
        <w:t xml:space="preserve"> J, </w:t>
      </w:r>
      <w:proofErr w:type="spellStart"/>
      <w:r w:rsidRPr="008E4182">
        <w:rPr>
          <w:rFonts w:asciiTheme="majorBidi" w:hAnsiTheme="majorBidi" w:cstheme="majorBidi"/>
          <w:color w:val="212121"/>
        </w:rPr>
        <w:t>Hüseman</w:t>
      </w:r>
      <w:proofErr w:type="spellEnd"/>
      <w:r w:rsidRPr="008E4182">
        <w:rPr>
          <w:rFonts w:asciiTheme="majorBidi" w:hAnsiTheme="majorBidi" w:cstheme="majorBidi"/>
          <w:color w:val="212121"/>
        </w:rPr>
        <w:t xml:space="preserve"> D, Müller D, </w:t>
      </w:r>
      <w:proofErr w:type="spellStart"/>
      <w:r w:rsidRPr="008E4182">
        <w:rPr>
          <w:rFonts w:asciiTheme="majorBidi" w:hAnsiTheme="majorBidi" w:cstheme="majorBidi"/>
          <w:color w:val="212121"/>
        </w:rPr>
        <w:t>Thumfart</w:t>
      </w:r>
      <w:proofErr w:type="spellEnd"/>
      <w:r w:rsidRPr="008E4182">
        <w:rPr>
          <w:rFonts w:asciiTheme="majorBidi" w:hAnsiTheme="majorBidi" w:cstheme="majorBidi"/>
          <w:color w:val="212121"/>
        </w:rPr>
        <w:t xml:space="preserve"> J. Short- and Long-Term Renal Outcome of Hemolytic-Uremic Syndrome in Childhood. Front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2018 Aug 7;6:220.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10.3389/fped.2018.00220. PMID: 30131950; PMCID: PMC6090047.</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Noris</w:t>
      </w:r>
      <w:proofErr w:type="spellEnd"/>
      <w:r w:rsidRPr="008E4182">
        <w:rPr>
          <w:rFonts w:asciiTheme="majorBidi" w:hAnsiTheme="majorBidi" w:cstheme="majorBidi"/>
          <w:color w:val="212121"/>
        </w:rPr>
        <w:t xml:space="preserve"> M, </w:t>
      </w:r>
      <w:proofErr w:type="spellStart"/>
      <w:r w:rsidRPr="008E4182">
        <w:rPr>
          <w:rFonts w:asciiTheme="majorBidi" w:hAnsiTheme="majorBidi" w:cstheme="majorBidi"/>
          <w:color w:val="212121"/>
        </w:rPr>
        <w:t>Remuzzi</w:t>
      </w:r>
      <w:proofErr w:type="spellEnd"/>
      <w:r w:rsidRPr="008E4182">
        <w:rPr>
          <w:rFonts w:asciiTheme="majorBidi" w:hAnsiTheme="majorBidi" w:cstheme="majorBidi"/>
          <w:color w:val="212121"/>
        </w:rPr>
        <w:t xml:space="preserve"> G. Atypical hemolytic-uremic syndrome. N </w:t>
      </w:r>
      <w:proofErr w:type="spellStart"/>
      <w:r w:rsidRPr="008E4182">
        <w:rPr>
          <w:rFonts w:asciiTheme="majorBidi" w:hAnsiTheme="majorBidi" w:cstheme="majorBidi"/>
          <w:color w:val="212121"/>
        </w:rPr>
        <w:t>Engl</w:t>
      </w:r>
      <w:proofErr w:type="spellEnd"/>
      <w:r w:rsidRPr="008E4182">
        <w:rPr>
          <w:rFonts w:asciiTheme="majorBidi" w:hAnsiTheme="majorBidi" w:cstheme="majorBidi"/>
          <w:color w:val="212121"/>
        </w:rPr>
        <w:t xml:space="preserve"> J Med. 2009 Oct 22;361(17):1676-87.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10.1056/NEJMra0902814. PMID: 19846853.</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Raina R, </w:t>
      </w:r>
      <w:proofErr w:type="spellStart"/>
      <w:r w:rsidRPr="008E4182">
        <w:rPr>
          <w:rFonts w:asciiTheme="majorBidi" w:hAnsiTheme="majorBidi" w:cstheme="majorBidi"/>
          <w:color w:val="212121"/>
        </w:rPr>
        <w:t>Sethi</w:t>
      </w:r>
      <w:proofErr w:type="spellEnd"/>
      <w:r w:rsidRPr="008E4182">
        <w:rPr>
          <w:rFonts w:asciiTheme="majorBidi" w:hAnsiTheme="majorBidi" w:cstheme="majorBidi"/>
          <w:color w:val="212121"/>
        </w:rPr>
        <w:t xml:space="preserve"> SK, Dragon-</w:t>
      </w:r>
      <w:proofErr w:type="spellStart"/>
      <w:r w:rsidRPr="008E4182">
        <w:rPr>
          <w:rFonts w:asciiTheme="majorBidi" w:hAnsiTheme="majorBidi" w:cstheme="majorBidi"/>
          <w:color w:val="212121"/>
        </w:rPr>
        <w:t>Durey</w:t>
      </w:r>
      <w:proofErr w:type="spellEnd"/>
      <w:r w:rsidRPr="008E4182">
        <w:rPr>
          <w:rFonts w:asciiTheme="majorBidi" w:hAnsiTheme="majorBidi" w:cstheme="majorBidi"/>
          <w:color w:val="212121"/>
        </w:rPr>
        <w:t xml:space="preserve"> MA, </w:t>
      </w:r>
      <w:proofErr w:type="spellStart"/>
      <w:r w:rsidRPr="008E4182">
        <w:rPr>
          <w:rFonts w:asciiTheme="majorBidi" w:hAnsiTheme="majorBidi" w:cstheme="majorBidi"/>
          <w:color w:val="212121"/>
        </w:rPr>
        <w:t>Khooblall</w:t>
      </w:r>
      <w:proofErr w:type="spellEnd"/>
      <w:r w:rsidRPr="008E4182">
        <w:rPr>
          <w:rFonts w:asciiTheme="majorBidi" w:hAnsiTheme="majorBidi" w:cstheme="majorBidi"/>
          <w:color w:val="212121"/>
        </w:rPr>
        <w:t xml:space="preserve"> A, Sharma D, et al. Systematic review of atypical hemolytic uremic syndrome biomarkers.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Nephrol</w:t>
      </w:r>
      <w:proofErr w:type="spellEnd"/>
      <w:r w:rsidRPr="008E4182">
        <w:rPr>
          <w:rFonts w:asciiTheme="majorBidi" w:hAnsiTheme="majorBidi" w:cstheme="majorBidi"/>
          <w:color w:val="212121"/>
        </w:rPr>
        <w:t xml:space="preserve">. 2022 Jul;37(7):1479-1493.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10.1007/s00467-022-05451-2.</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Fakhouri</w:t>
      </w:r>
      <w:proofErr w:type="spellEnd"/>
      <w:r w:rsidRPr="008E4182">
        <w:rPr>
          <w:rFonts w:asciiTheme="majorBidi" w:hAnsiTheme="majorBidi" w:cstheme="majorBidi"/>
          <w:color w:val="212121"/>
        </w:rPr>
        <w:t xml:space="preserve"> F, </w:t>
      </w:r>
      <w:proofErr w:type="spellStart"/>
      <w:r w:rsidRPr="008E4182">
        <w:rPr>
          <w:rFonts w:asciiTheme="majorBidi" w:hAnsiTheme="majorBidi" w:cstheme="majorBidi"/>
          <w:color w:val="212121"/>
        </w:rPr>
        <w:t>Schwotzer</w:t>
      </w:r>
      <w:proofErr w:type="spellEnd"/>
      <w:r w:rsidRPr="008E4182">
        <w:rPr>
          <w:rFonts w:asciiTheme="majorBidi" w:hAnsiTheme="majorBidi" w:cstheme="majorBidi"/>
          <w:color w:val="212121"/>
        </w:rPr>
        <w:t xml:space="preserve"> N, </w:t>
      </w:r>
      <w:proofErr w:type="spellStart"/>
      <w:r w:rsidRPr="008E4182">
        <w:rPr>
          <w:rFonts w:asciiTheme="majorBidi" w:hAnsiTheme="majorBidi" w:cstheme="majorBidi"/>
          <w:color w:val="212121"/>
        </w:rPr>
        <w:t>Frémeaux-Bacchi</w:t>
      </w:r>
      <w:proofErr w:type="spellEnd"/>
      <w:r w:rsidRPr="008E4182">
        <w:rPr>
          <w:rFonts w:asciiTheme="majorBidi" w:hAnsiTheme="majorBidi" w:cstheme="majorBidi"/>
          <w:color w:val="212121"/>
        </w:rPr>
        <w:t xml:space="preserve"> V. How I diagnose and treat atypical hemolytic uremic syndrome. Blood. 2023 Mar 2;141(9):984-995.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10.1182/blood.2022017860. </w:t>
      </w:r>
    </w:p>
    <w:p w:rsidR="009A769D" w:rsidRPr="00B7524F" w:rsidRDefault="009A769D" w:rsidP="00B7524F">
      <w:pPr>
        <w:numPr>
          <w:ilvl w:val="0"/>
          <w:numId w:val="3"/>
        </w:numPr>
        <w:spacing w:after="0" w:line="276" w:lineRule="auto"/>
        <w:ind w:left="360" w:hanging="360"/>
        <w:rPr>
          <w:rFonts w:asciiTheme="majorBidi" w:hAnsiTheme="majorBidi" w:cstheme="majorBidi"/>
        </w:rPr>
      </w:pPr>
      <w:proofErr w:type="spellStart"/>
      <w:r w:rsidRPr="00B7524F">
        <w:rPr>
          <w:rFonts w:asciiTheme="majorBidi" w:hAnsiTheme="majorBidi" w:cstheme="majorBidi"/>
          <w:color w:val="212121"/>
        </w:rPr>
        <w:t>Espitaleta</w:t>
      </w:r>
      <w:proofErr w:type="spellEnd"/>
      <w:r w:rsidRPr="00B7524F">
        <w:rPr>
          <w:rFonts w:asciiTheme="majorBidi" w:hAnsiTheme="majorBidi" w:cstheme="majorBidi"/>
          <w:color w:val="212121"/>
        </w:rPr>
        <w:t xml:space="preserve"> Z, </w:t>
      </w:r>
      <w:proofErr w:type="spellStart"/>
      <w:r w:rsidRPr="00B7524F">
        <w:rPr>
          <w:rFonts w:asciiTheme="majorBidi" w:hAnsiTheme="majorBidi" w:cstheme="majorBidi"/>
          <w:color w:val="212121"/>
        </w:rPr>
        <w:t>Domínguez</w:t>
      </w:r>
      <w:proofErr w:type="spellEnd"/>
      <w:r w:rsidRPr="00B7524F">
        <w:rPr>
          <w:rFonts w:asciiTheme="majorBidi" w:hAnsiTheme="majorBidi" w:cstheme="majorBidi"/>
          <w:color w:val="212121"/>
        </w:rPr>
        <w:t xml:space="preserve">-Vargas A, </w:t>
      </w:r>
      <w:proofErr w:type="spellStart"/>
      <w:r w:rsidRPr="00B7524F">
        <w:rPr>
          <w:rFonts w:asciiTheme="majorBidi" w:hAnsiTheme="majorBidi" w:cstheme="majorBidi"/>
          <w:color w:val="212121"/>
        </w:rPr>
        <w:t>Villamizar-Martínez</w:t>
      </w:r>
      <w:proofErr w:type="spellEnd"/>
      <w:r w:rsidRPr="00B7524F">
        <w:rPr>
          <w:rFonts w:asciiTheme="majorBidi" w:hAnsiTheme="majorBidi" w:cstheme="majorBidi"/>
          <w:color w:val="212121"/>
        </w:rPr>
        <w:t xml:space="preserve"> J, </w:t>
      </w:r>
      <w:proofErr w:type="spellStart"/>
      <w:r w:rsidRPr="00B7524F">
        <w:rPr>
          <w:rFonts w:asciiTheme="majorBidi" w:hAnsiTheme="majorBidi" w:cstheme="majorBidi"/>
          <w:color w:val="212121"/>
        </w:rPr>
        <w:t>Carrascal-Guzmán</w:t>
      </w:r>
      <w:proofErr w:type="spellEnd"/>
      <w:r w:rsidRPr="00B7524F">
        <w:rPr>
          <w:rFonts w:asciiTheme="majorBidi" w:hAnsiTheme="majorBidi" w:cstheme="majorBidi"/>
          <w:color w:val="212121"/>
        </w:rPr>
        <w:t xml:space="preserve"> M, Guerrero-</w:t>
      </w:r>
      <w:proofErr w:type="spellStart"/>
      <w:r w:rsidRPr="00B7524F">
        <w:rPr>
          <w:rFonts w:asciiTheme="majorBidi" w:hAnsiTheme="majorBidi" w:cstheme="majorBidi"/>
          <w:color w:val="212121"/>
        </w:rPr>
        <w:t>Tinoco</w:t>
      </w:r>
      <w:proofErr w:type="spellEnd"/>
      <w:r w:rsidRPr="00B7524F">
        <w:rPr>
          <w:rFonts w:asciiTheme="majorBidi" w:hAnsiTheme="majorBidi" w:cstheme="majorBidi"/>
          <w:color w:val="212121"/>
        </w:rPr>
        <w:t xml:space="preserve"> </w:t>
      </w:r>
      <w:proofErr w:type="spellStart"/>
      <w:r w:rsidRPr="00B7524F">
        <w:rPr>
          <w:rFonts w:asciiTheme="majorBidi" w:hAnsiTheme="majorBidi" w:cstheme="majorBidi"/>
          <w:color w:val="212121"/>
        </w:rPr>
        <w:t>G,et</w:t>
      </w:r>
      <w:proofErr w:type="spellEnd"/>
      <w:r w:rsidRPr="00B7524F">
        <w:rPr>
          <w:rFonts w:asciiTheme="majorBidi" w:hAnsiTheme="majorBidi" w:cstheme="majorBidi"/>
          <w:color w:val="212121"/>
        </w:rPr>
        <w:t xml:space="preserve"> al. Atypical Hemolytic Uremic Syndrome: A Nationwide</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 xml:space="preserve">Colombian </w:t>
      </w:r>
      <w:r w:rsidRPr="00B7524F">
        <w:rPr>
          <w:rFonts w:asciiTheme="majorBidi" w:hAnsiTheme="majorBidi" w:cstheme="majorBidi"/>
          <w:color w:val="212121"/>
        </w:rPr>
        <w:tab/>
        <w:t xml:space="preserve">Pediatric </w:t>
      </w:r>
      <w:r w:rsidRPr="00B7524F">
        <w:rPr>
          <w:rFonts w:asciiTheme="majorBidi" w:hAnsiTheme="majorBidi" w:cstheme="majorBidi"/>
          <w:color w:val="212121"/>
        </w:rPr>
        <w:tab/>
        <w:t xml:space="preserve">Series. </w:t>
      </w:r>
      <w:r w:rsidRPr="00B7524F">
        <w:rPr>
          <w:rFonts w:asciiTheme="majorBidi" w:hAnsiTheme="majorBidi" w:cstheme="majorBidi"/>
          <w:color w:val="212121"/>
        </w:rPr>
        <w:tab/>
        <w:t xml:space="preserve">Glob </w:t>
      </w:r>
      <w:r w:rsidRPr="00B7524F">
        <w:rPr>
          <w:rFonts w:asciiTheme="majorBidi" w:hAnsiTheme="majorBidi" w:cstheme="majorBidi"/>
          <w:color w:val="212121"/>
        </w:rPr>
        <w:tab/>
      </w:r>
      <w:proofErr w:type="spellStart"/>
      <w:r w:rsidRPr="00B7524F">
        <w:rPr>
          <w:rFonts w:asciiTheme="majorBidi" w:hAnsiTheme="majorBidi" w:cstheme="majorBidi"/>
          <w:color w:val="212121"/>
        </w:rPr>
        <w:t>Pediatr</w:t>
      </w:r>
      <w:proofErr w:type="spellEnd"/>
      <w:r w:rsidRPr="00B7524F">
        <w:rPr>
          <w:rFonts w:asciiTheme="majorBidi" w:hAnsiTheme="majorBidi" w:cstheme="majorBidi"/>
          <w:color w:val="212121"/>
        </w:rPr>
        <w:t xml:space="preserve">. </w:t>
      </w:r>
      <w:r w:rsidRPr="00B7524F">
        <w:rPr>
          <w:rFonts w:asciiTheme="majorBidi" w:hAnsiTheme="majorBidi" w:cstheme="majorBidi"/>
          <w:color w:val="212121"/>
        </w:rPr>
        <w:tab/>
        <w:t xml:space="preserve">Health. 2024 </w:t>
      </w:r>
      <w:r w:rsidRPr="00B7524F">
        <w:rPr>
          <w:rFonts w:asciiTheme="majorBidi" w:hAnsiTheme="majorBidi" w:cstheme="majorBidi"/>
          <w:color w:val="212121"/>
        </w:rPr>
        <w:tab/>
        <w:t xml:space="preserve">Feb 10;11:2333794X241231133. </w:t>
      </w:r>
      <w:proofErr w:type="spellStart"/>
      <w:r w:rsidRPr="00B7524F">
        <w:rPr>
          <w:rFonts w:asciiTheme="majorBidi" w:hAnsiTheme="majorBidi" w:cstheme="majorBidi"/>
          <w:color w:val="212121"/>
        </w:rPr>
        <w:t>doi</w:t>
      </w:r>
      <w:proofErr w:type="spellEnd"/>
      <w:r w:rsidRPr="00B7524F">
        <w:rPr>
          <w:rFonts w:asciiTheme="majorBidi" w:hAnsiTheme="majorBidi" w:cstheme="majorBidi"/>
          <w:color w:val="212121"/>
        </w:rPr>
        <w:t>: 10.1177/2333794X241231133.</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EF594D">
        <w:rPr>
          <w:rFonts w:asciiTheme="majorBidi" w:hAnsiTheme="majorBidi" w:cstheme="majorBidi"/>
          <w:color w:val="212121"/>
          <w:shd w:val="clear" w:color="auto" w:fill="FFFFFF"/>
        </w:rPr>
        <w:t xml:space="preserve"> </w:t>
      </w:r>
      <w:proofErr w:type="spellStart"/>
      <w:r w:rsidRPr="00EF594D">
        <w:rPr>
          <w:rFonts w:asciiTheme="majorBidi" w:hAnsiTheme="majorBidi" w:cstheme="majorBidi"/>
          <w:color w:val="212121"/>
          <w:shd w:val="clear" w:color="auto" w:fill="FFFFFF"/>
        </w:rPr>
        <w:t>Böckenhauer</w:t>
      </w:r>
      <w:proofErr w:type="spellEnd"/>
      <w:r w:rsidRPr="00EF594D">
        <w:rPr>
          <w:rFonts w:asciiTheme="majorBidi" w:hAnsiTheme="majorBidi" w:cstheme="majorBidi"/>
          <w:color w:val="212121"/>
          <w:shd w:val="clear" w:color="auto" w:fill="FFFFFF"/>
        </w:rPr>
        <w:t xml:space="preserve"> J, </w:t>
      </w:r>
      <w:proofErr w:type="spellStart"/>
      <w:r w:rsidRPr="00EF594D">
        <w:rPr>
          <w:rFonts w:asciiTheme="majorBidi" w:hAnsiTheme="majorBidi" w:cstheme="majorBidi"/>
          <w:color w:val="212121"/>
          <w:shd w:val="clear" w:color="auto" w:fill="FFFFFF"/>
        </w:rPr>
        <w:t>Schild</w:t>
      </w:r>
      <w:proofErr w:type="spellEnd"/>
      <w:r w:rsidRPr="00EF594D">
        <w:rPr>
          <w:rFonts w:asciiTheme="majorBidi" w:hAnsiTheme="majorBidi" w:cstheme="majorBidi"/>
          <w:color w:val="212121"/>
          <w:shd w:val="clear" w:color="auto" w:fill="FFFFFF"/>
        </w:rPr>
        <w:t xml:space="preserve"> R, Kemper MJ, </w:t>
      </w:r>
      <w:proofErr w:type="spellStart"/>
      <w:r w:rsidRPr="00EF594D">
        <w:rPr>
          <w:rFonts w:asciiTheme="majorBidi" w:hAnsiTheme="majorBidi" w:cstheme="majorBidi"/>
          <w:color w:val="212121"/>
          <w:shd w:val="clear" w:color="auto" w:fill="FFFFFF"/>
        </w:rPr>
        <w:t>Henne</w:t>
      </w:r>
      <w:proofErr w:type="spellEnd"/>
      <w:r w:rsidRPr="00EF594D">
        <w:rPr>
          <w:rFonts w:asciiTheme="majorBidi" w:hAnsiTheme="majorBidi" w:cstheme="majorBidi"/>
          <w:color w:val="212121"/>
          <w:shd w:val="clear" w:color="auto" w:fill="FFFFFF"/>
        </w:rPr>
        <w:t xml:space="preserve"> T, Stein MV, et al. Volume expansion mitigates Shiga toxin-producing E. coli-hemolytic uremic syndrome in children. </w:t>
      </w:r>
      <w:proofErr w:type="spellStart"/>
      <w:r w:rsidRPr="00EF594D">
        <w:rPr>
          <w:rFonts w:asciiTheme="majorBidi" w:hAnsiTheme="majorBidi" w:cstheme="majorBidi"/>
          <w:color w:val="212121"/>
          <w:shd w:val="clear" w:color="auto" w:fill="FFFFFF"/>
        </w:rPr>
        <w:t>Pediatr</w:t>
      </w:r>
      <w:proofErr w:type="spellEnd"/>
      <w:r w:rsidRPr="00EF594D">
        <w:rPr>
          <w:rFonts w:asciiTheme="majorBidi" w:hAnsiTheme="majorBidi" w:cstheme="majorBidi"/>
          <w:color w:val="212121"/>
          <w:shd w:val="clear" w:color="auto" w:fill="FFFFFF"/>
        </w:rPr>
        <w:t xml:space="preserve"> </w:t>
      </w:r>
      <w:proofErr w:type="spellStart"/>
      <w:r w:rsidRPr="00EF594D">
        <w:rPr>
          <w:rFonts w:asciiTheme="majorBidi" w:hAnsiTheme="majorBidi" w:cstheme="majorBidi"/>
          <w:color w:val="212121"/>
          <w:shd w:val="clear" w:color="auto" w:fill="FFFFFF"/>
        </w:rPr>
        <w:t>Nephrol</w:t>
      </w:r>
      <w:proofErr w:type="spellEnd"/>
      <w:r w:rsidRPr="00EF594D">
        <w:rPr>
          <w:rFonts w:asciiTheme="majorBidi" w:hAnsiTheme="majorBidi" w:cstheme="majorBidi"/>
          <w:color w:val="212121"/>
          <w:shd w:val="clear" w:color="auto" w:fill="FFFFFF"/>
        </w:rPr>
        <w:t xml:space="preserve">. 2024 Jun;39(6):1901-1907. </w:t>
      </w:r>
      <w:proofErr w:type="spellStart"/>
      <w:r w:rsidRPr="00EF594D">
        <w:rPr>
          <w:rFonts w:asciiTheme="majorBidi" w:hAnsiTheme="majorBidi" w:cstheme="majorBidi"/>
          <w:color w:val="212121"/>
          <w:shd w:val="clear" w:color="auto" w:fill="FFFFFF"/>
        </w:rPr>
        <w:t>doi</w:t>
      </w:r>
      <w:proofErr w:type="spellEnd"/>
      <w:r w:rsidRPr="00EF594D">
        <w:rPr>
          <w:rFonts w:asciiTheme="majorBidi" w:hAnsiTheme="majorBidi" w:cstheme="majorBidi"/>
          <w:color w:val="212121"/>
          <w:shd w:val="clear" w:color="auto" w:fill="FFFFFF"/>
        </w:rPr>
        <w:t>: 10.1007/s00467-023-06276-3.</w:t>
      </w:r>
    </w:p>
    <w:p w:rsidR="009A769D" w:rsidRDefault="009A769D" w:rsidP="00B7524F">
      <w:pPr>
        <w:numPr>
          <w:ilvl w:val="0"/>
          <w:numId w:val="3"/>
        </w:numPr>
        <w:spacing w:after="0" w:line="276" w:lineRule="auto"/>
        <w:ind w:left="360" w:hanging="360"/>
        <w:rPr>
          <w:rFonts w:asciiTheme="majorBidi" w:hAnsiTheme="majorBidi" w:cstheme="majorBidi"/>
          <w:color w:val="212121"/>
        </w:rPr>
      </w:pPr>
      <w:proofErr w:type="spellStart"/>
      <w:r w:rsidRPr="008E4182">
        <w:rPr>
          <w:rFonts w:asciiTheme="majorBidi" w:hAnsiTheme="majorBidi" w:cstheme="majorBidi"/>
          <w:color w:val="212121"/>
        </w:rPr>
        <w:t>Netti</w:t>
      </w:r>
      <w:proofErr w:type="spellEnd"/>
      <w:r w:rsidRPr="008E4182">
        <w:rPr>
          <w:rFonts w:asciiTheme="majorBidi" w:hAnsiTheme="majorBidi" w:cstheme="majorBidi"/>
          <w:color w:val="212121"/>
        </w:rPr>
        <w:t xml:space="preserve"> GS, </w:t>
      </w:r>
      <w:proofErr w:type="spellStart"/>
      <w:r w:rsidRPr="008E4182">
        <w:rPr>
          <w:rFonts w:asciiTheme="majorBidi" w:hAnsiTheme="majorBidi" w:cstheme="majorBidi"/>
          <w:color w:val="212121"/>
        </w:rPr>
        <w:t>Santangelo</w:t>
      </w:r>
      <w:proofErr w:type="spellEnd"/>
      <w:r w:rsidRPr="008E4182">
        <w:rPr>
          <w:rFonts w:asciiTheme="majorBidi" w:hAnsiTheme="majorBidi" w:cstheme="majorBidi"/>
          <w:color w:val="212121"/>
        </w:rPr>
        <w:t xml:space="preserve"> L, </w:t>
      </w:r>
      <w:proofErr w:type="spellStart"/>
      <w:r w:rsidRPr="008E4182">
        <w:rPr>
          <w:rFonts w:asciiTheme="majorBidi" w:hAnsiTheme="majorBidi" w:cstheme="majorBidi"/>
          <w:color w:val="212121"/>
        </w:rPr>
        <w:t>Paulucci</w:t>
      </w:r>
      <w:proofErr w:type="spellEnd"/>
      <w:r w:rsidRPr="008E4182">
        <w:rPr>
          <w:rFonts w:asciiTheme="majorBidi" w:hAnsiTheme="majorBidi" w:cstheme="majorBidi"/>
          <w:color w:val="212121"/>
        </w:rPr>
        <w:t xml:space="preserve"> L, </w:t>
      </w:r>
      <w:proofErr w:type="spellStart"/>
      <w:r w:rsidRPr="008E4182">
        <w:rPr>
          <w:rFonts w:asciiTheme="majorBidi" w:hAnsiTheme="majorBidi" w:cstheme="majorBidi"/>
          <w:color w:val="212121"/>
        </w:rPr>
        <w:t>Piscopo</w:t>
      </w:r>
      <w:proofErr w:type="spellEnd"/>
      <w:r w:rsidRPr="008E4182">
        <w:rPr>
          <w:rFonts w:asciiTheme="majorBidi" w:hAnsiTheme="majorBidi" w:cstheme="majorBidi"/>
          <w:color w:val="212121"/>
        </w:rPr>
        <w:t xml:space="preserve"> G, Torres DD, et al. Low C3 Serum Levels Predict Severe Forms of STEC-HUS With Neurologic Involvement. Front Med (Lausanne). 2020 Jun 26;7:357.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10.3389/fmed.2020.00357.</w:t>
      </w:r>
    </w:p>
    <w:p w:rsidR="009A769D" w:rsidRDefault="009A769D" w:rsidP="00B7524F">
      <w:pPr>
        <w:spacing w:after="160" w:line="278" w:lineRule="auto"/>
        <w:ind w:left="360" w:hanging="360"/>
        <w:jc w:val="left"/>
        <w:rPr>
          <w:rFonts w:asciiTheme="majorBidi" w:hAnsiTheme="majorBidi" w:cstheme="majorBidi"/>
          <w:color w:val="212121"/>
        </w:rPr>
      </w:pPr>
      <w:r>
        <w:rPr>
          <w:rFonts w:asciiTheme="majorBidi" w:hAnsiTheme="majorBidi" w:cstheme="majorBidi"/>
          <w:color w:val="212121"/>
        </w:rPr>
        <w:br w:type="page"/>
      </w:r>
    </w:p>
    <w:p w:rsidR="009A769D" w:rsidRPr="008E4182" w:rsidRDefault="009A769D" w:rsidP="00B7524F">
      <w:pPr>
        <w:spacing w:after="0" w:line="276" w:lineRule="auto"/>
        <w:ind w:left="360" w:hanging="360"/>
        <w:rPr>
          <w:rFonts w:asciiTheme="majorBidi" w:hAnsiTheme="majorBidi" w:cstheme="majorBidi"/>
        </w:rPr>
      </w:pPr>
    </w:p>
    <w:p w:rsidR="009A769D" w:rsidRDefault="009A769D" w:rsidP="00B7524F">
      <w:pPr>
        <w:numPr>
          <w:ilvl w:val="0"/>
          <w:numId w:val="3"/>
        </w:numPr>
        <w:spacing w:after="0" w:line="276" w:lineRule="auto"/>
        <w:ind w:left="360" w:hanging="360"/>
        <w:rPr>
          <w:rFonts w:asciiTheme="majorBidi" w:hAnsiTheme="majorBidi" w:cstheme="majorBidi"/>
          <w:color w:val="212121"/>
        </w:rPr>
      </w:pPr>
      <w:proofErr w:type="spellStart"/>
      <w:r w:rsidRPr="008E4182">
        <w:rPr>
          <w:rFonts w:asciiTheme="majorBidi" w:hAnsiTheme="majorBidi" w:cstheme="majorBidi"/>
          <w:color w:val="212121"/>
        </w:rPr>
        <w:t>Brocklebank</w:t>
      </w:r>
      <w:proofErr w:type="spellEnd"/>
      <w:r w:rsidRPr="008E4182">
        <w:rPr>
          <w:rFonts w:asciiTheme="majorBidi" w:hAnsiTheme="majorBidi" w:cstheme="majorBidi"/>
          <w:color w:val="212121"/>
        </w:rPr>
        <w:t xml:space="preserve"> V, Walsh PR, Smith-Jackson K, Hallam TM, </w:t>
      </w:r>
      <w:proofErr w:type="spellStart"/>
      <w:r w:rsidRPr="008E4182">
        <w:rPr>
          <w:rFonts w:asciiTheme="majorBidi" w:hAnsiTheme="majorBidi" w:cstheme="majorBidi"/>
          <w:color w:val="212121"/>
        </w:rPr>
        <w:t>Marchbank</w:t>
      </w:r>
      <w:proofErr w:type="spellEnd"/>
      <w:r w:rsidRPr="008E4182">
        <w:rPr>
          <w:rFonts w:asciiTheme="majorBidi" w:hAnsiTheme="majorBidi" w:cstheme="majorBidi"/>
          <w:color w:val="212121"/>
        </w:rPr>
        <w:t xml:space="preserve"> KJ,. Atypical hemolytic uremic syndrome in the era of terminal complement inhibition: an observational cohort study. Blood. 2023 Oct 19;142(16):1371-1386.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10.1182/blood.2022018833</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Kavanagh D, </w:t>
      </w:r>
      <w:proofErr w:type="spellStart"/>
      <w:r w:rsidRPr="008E4182">
        <w:rPr>
          <w:rFonts w:asciiTheme="majorBidi" w:hAnsiTheme="majorBidi" w:cstheme="majorBidi"/>
          <w:color w:val="212121"/>
        </w:rPr>
        <w:t>Ardissino</w:t>
      </w:r>
      <w:proofErr w:type="spellEnd"/>
      <w:r w:rsidRPr="008E4182">
        <w:rPr>
          <w:rFonts w:asciiTheme="majorBidi" w:hAnsiTheme="majorBidi" w:cstheme="majorBidi"/>
          <w:color w:val="212121"/>
        </w:rPr>
        <w:t xml:space="preserve"> G, </w:t>
      </w:r>
      <w:proofErr w:type="spellStart"/>
      <w:r w:rsidRPr="008E4182">
        <w:rPr>
          <w:rFonts w:asciiTheme="majorBidi" w:hAnsiTheme="majorBidi" w:cstheme="majorBidi"/>
          <w:color w:val="212121"/>
        </w:rPr>
        <w:t>Brocklebank</w:t>
      </w:r>
      <w:proofErr w:type="spellEnd"/>
      <w:r w:rsidRPr="008E4182">
        <w:rPr>
          <w:rFonts w:asciiTheme="majorBidi" w:hAnsiTheme="majorBidi" w:cstheme="majorBidi"/>
          <w:color w:val="212121"/>
        </w:rPr>
        <w:t xml:space="preserve"> V, </w:t>
      </w:r>
      <w:proofErr w:type="spellStart"/>
      <w:r w:rsidRPr="008E4182">
        <w:rPr>
          <w:rFonts w:asciiTheme="majorBidi" w:hAnsiTheme="majorBidi" w:cstheme="majorBidi"/>
          <w:color w:val="212121"/>
        </w:rPr>
        <w:t>Bouwmeester</w:t>
      </w:r>
      <w:proofErr w:type="spellEnd"/>
      <w:r w:rsidRPr="008E4182">
        <w:rPr>
          <w:rFonts w:asciiTheme="majorBidi" w:hAnsiTheme="majorBidi" w:cstheme="majorBidi"/>
          <w:color w:val="212121"/>
        </w:rPr>
        <w:t xml:space="preserve"> RN, </w:t>
      </w:r>
      <w:proofErr w:type="spellStart"/>
      <w:r w:rsidRPr="008E4182">
        <w:rPr>
          <w:rFonts w:asciiTheme="majorBidi" w:hAnsiTheme="majorBidi" w:cstheme="majorBidi"/>
          <w:color w:val="212121"/>
        </w:rPr>
        <w:t>Bagga</w:t>
      </w:r>
      <w:proofErr w:type="spellEnd"/>
      <w:r w:rsidRPr="008E4182">
        <w:rPr>
          <w:rFonts w:asciiTheme="majorBidi" w:hAnsiTheme="majorBidi" w:cstheme="majorBidi"/>
          <w:color w:val="212121"/>
        </w:rPr>
        <w:t xml:space="preserve"> A, et al. Outcomes from the International Society of Nephrology Hemolytic Uremic Syndromes International Forum. Kidney Int. 2024 Dec;106(6):1038-1050.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10.1016/</w:t>
      </w:r>
      <w:proofErr w:type="spellStart"/>
      <w:r w:rsidRPr="008E4182">
        <w:rPr>
          <w:rFonts w:asciiTheme="majorBidi" w:hAnsiTheme="majorBidi" w:cstheme="majorBidi"/>
          <w:color w:val="212121"/>
        </w:rPr>
        <w:t>j.kint</w:t>
      </w:r>
      <w:proofErr w:type="spellEnd"/>
      <w:r w:rsidRPr="008E4182">
        <w:rPr>
          <w:rFonts w:asciiTheme="majorBidi" w:hAnsiTheme="majorBidi" w:cstheme="majorBidi"/>
          <w:color w:val="212121"/>
        </w:rPr>
        <w:t xml:space="preserve">.  </w:t>
      </w:r>
    </w:p>
    <w:p w:rsidR="009A769D" w:rsidRPr="00B7524F" w:rsidRDefault="009A769D" w:rsidP="00B7524F">
      <w:pPr>
        <w:numPr>
          <w:ilvl w:val="0"/>
          <w:numId w:val="3"/>
        </w:numPr>
        <w:spacing w:after="0" w:line="276" w:lineRule="auto"/>
        <w:ind w:left="360" w:hanging="360"/>
        <w:rPr>
          <w:rFonts w:asciiTheme="majorBidi" w:hAnsiTheme="majorBidi" w:cstheme="majorBidi"/>
        </w:rPr>
      </w:pPr>
      <w:r w:rsidRPr="00B7524F">
        <w:rPr>
          <w:rFonts w:asciiTheme="majorBidi" w:hAnsiTheme="majorBidi" w:cstheme="majorBidi"/>
          <w:color w:val="212121"/>
        </w:rPr>
        <w:t xml:space="preserve">PM </w:t>
      </w:r>
      <w:proofErr w:type="spellStart"/>
      <w:r w:rsidRPr="00B7524F">
        <w:rPr>
          <w:rFonts w:asciiTheme="majorBidi" w:hAnsiTheme="majorBidi" w:cstheme="majorBidi"/>
          <w:color w:val="212121"/>
        </w:rPr>
        <w:t>Goodship</w:t>
      </w:r>
      <w:proofErr w:type="spellEnd"/>
      <w:r w:rsidRPr="00B7524F">
        <w:rPr>
          <w:rFonts w:asciiTheme="majorBidi" w:hAnsiTheme="majorBidi" w:cstheme="majorBidi"/>
          <w:color w:val="212121"/>
        </w:rPr>
        <w:t xml:space="preserve"> TH, Cook HT, </w:t>
      </w:r>
      <w:proofErr w:type="spellStart"/>
      <w:r w:rsidRPr="00B7524F">
        <w:rPr>
          <w:rFonts w:asciiTheme="majorBidi" w:hAnsiTheme="majorBidi" w:cstheme="majorBidi"/>
          <w:color w:val="212121"/>
        </w:rPr>
        <w:t>Fakhouri</w:t>
      </w:r>
      <w:proofErr w:type="spellEnd"/>
      <w:r w:rsidRPr="00B7524F">
        <w:rPr>
          <w:rFonts w:asciiTheme="majorBidi" w:hAnsiTheme="majorBidi" w:cstheme="majorBidi"/>
          <w:color w:val="212121"/>
        </w:rPr>
        <w:t xml:space="preserve"> F, </w:t>
      </w:r>
      <w:proofErr w:type="spellStart"/>
      <w:r w:rsidRPr="00B7524F">
        <w:rPr>
          <w:rFonts w:asciiTheme="majorBidi" w:hAnsiTheme="majorBidi" w:cstheme="majorBidi"/>
          <w:color w:val="212121"/>
        </w:rPr>
        <w:t>Fervenza</w:t>
      </w:r>
      <w:proofErr w:type="spellEnd"/>
      <w:r w:rsidRPr="00B7524F">
        <w:rPr>
          <w:rFonts w:asciiTheme="majorBidi" w:hAnsiTheme="majorBidi" w:cstheme="majorBidi"/>
          <w:color w:val="212121"/>
        </w:rPr>
        <w:t xml:space="preserve"> FC, </w:t>
      </w:r>
      <w:proofErr w:type="spellStart"/>
      <w:r w:rsidRPr="00B7524F">
        <w:rPr>
          <w:rFonts w:asciiTheme="majorBidi" w:hAnsiTheme="majorBidi" w:cstheme="majorBidi"/>
          <w:color w:val="212121"/>
        </w:rPr>
        <w:t>Frémeaux-Bacchi</w:t>
      </w:r>
      <w:proofErr w:type="spellEnd"/>
      <w:r w:rsidRPr="00B7524F">
        <w:rPr>
          <w:rFonts w:asciiTheme="majorBidi" w:hAnsiTheme="majorBidi" w:cstheme="majorBidi"/>
          <w:color w:val="212121"/>
        </w:rPr>
        <w:t xml:space="preserve"> V, et al. Atypical hemolytic uremic syndrome and C3 </w:t>
      </w:r>
      <w:proofErr w:type="spellStart"/>
      <w:r w:rsidRPr="00B7524F">
        <w:rPr>
          <w:rFonts w:asciiTheme="majorBidi" w:hAnsiTheme="majorBidi" w:cstheme="majorBidi"/>
          <w:color w:val="212121"/>
        </w:rPr>
        <w:t>glomerulopathy</w:t>
      </w:r>
      <w:proofErr w:type="spellEnd"/>
      <w:r w:rsidRPr="00B7524F">
        <w:rPr>
          <w:rFonts w:asciiTheme="majorBidi" w:hAnsiTheme="majorBidi" w:cstheme="majorBidi"/>
          <w:color w:val="212121"/>
        </w:rPr>
        <w:t xml:space="preserve">: conclusions from a </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"Kidney Disease: Improving Global Outcomes" (KDIGO) Controversies</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 xml:space="preserve">Conference. Kidney Int. 2017 Mar;91(3):539-551. </w:t>
      </w:r>
      <w:proofErr w:type="spellStart"/>
      <w:r w:rsidRPr="00B7524F">
        <w:rPr>
          <w:rFonts w:asciiTheme="majorBidi" w:hAnsiTheme="majorBidi" w:cstheme="majorBidi"/>
          <w:color w:val="212121"/>
        </w:rPr>
        <w:t>doi</w:t>
      </w:r>
      <w:proofErr w:type="spellEnd"/>
      <w:r w:rsidRPr="00B7524F">
        <w:rPr>
          <w:rFonts w:asciiTheme="majorBidi" w:hAnsiTheme="majorBidi" w:cstheme="majorBidi"/>
          <w:color w:val="212121"/>
        </w:rPr>
        <w:t xml:space="preserve">: 10.1016/j.kint.2016.10.005 </w:t>
      </w:r>
    </w:p>
    <w:p w:rsidR="009A769D" w:rsidRPr="008E4182" w:rsidRDefault="009A769D" w:rsidP="00B7524F">
      <w:pPr>
        <w:pStyle w:val="a7"/>
        <w:numPr>
          <w:ilvl w:val="0"/>
          <w:numId w:val="3"/>
        </w:numPr>
        <w:spacing w:after="0"/>
        <w:ind w:left="360" w:hanging="360"/>
        <w:contextualSpacing w:val="0"/>
        <w:jc w:val="both"/>
        <w:rPr>
          <w:rFonts w:asciiTheme="majorBidi" w:hAnsiTheme="majorBidi" w:cstheme="majorBidi"/>
        </w:rPr>
      </w:pPr>
      <w:bookmarkStart w:id="4" w:name="_Hlk216996779"/>
      <w:r w:rsidRPr="00EF594D">
        <w:rPr>
          <w:rFonts w:asciiTheme="majorBidi" w:hAnsiTheme="majorBidi" w:cstheme="majorBidi"/>
          <w:color w:val="212121"/>
          <w:shd w:val="clear" w:color="auto" w:fill="FFFFFF"/>
        </w:rPr>
        <w:t>Leon J</w:t>
      </w:r>
      <w:bookmarkEnd w:id="4"/>
      <w:r w:rsidRPr="00EF594D">
        <w:rPr>
          <w:rFonts w:asciiTheme="majorBidi" w:hAnsiTheme="majorBidi" w:cstheme="majorBidi"/>
          <w:color w:val="212121"/>
          <w:shd w:val="clear" w:color="auto" w:fill="FFFFFF"/>
        </w:rPr>
        <w:t xml:space="preserve">, </w:t>
      </w:r>
      <w:proofErr w:type="spellStart"/>
      <w:r w:rsidRPr="00EF594D">
        <w:rPr>
          <w:rFonts w:asciiTheme="majorBidi" w:hAnsiTheme="majorBidi" w:cstheme="majorBidi"/>
          <w:color w:val="212121"/>
          <w:shd w:val="clear" w:color="auto" w:fill="FFFFFF"/>
        </w:rPr>
        <w:t>LeStang</w:t>
      </w:r>
      <w:proofErr w:type="spellEnd"/>
      <w:r w:rsidRPr="00EF594D">
        <w:rPr>
          <w:rFonts w:asciiTheme="majorBidi" w:hAnsiTheme="majorBidi" w:cstheme="majorBidi"/>
          <w:color w:val="212121"/>
          <w:shd w:val="clear" w:color="auto" w:fill="FFFFFF"/>
        </w:rPr>
        <w:t xml:space="preserve"> MB, </w:t>
      </w:r>
      <w:proofErr w:type="spellStart"/>
      <w:r w:rsidRPr="00EF594D">
        <w:rPr>
          <w:rFonts w:asciiTheme="majorBidi" w:hAnsiTheme="majorBidi" w:cstheme="majorBidi"/>
          <w:color w:val="212121"/>
          <w:shd w:val="clear" w:color="auto" w:fill="FFFFFF"/>
        </w:rPr>
        <w:t>Sberro-Soussan</w:t>
      </w:r>
      <w:proofErr w:type="spellEnd"/>
      <w:r w:rsidRPr="00EF594D">
        <w:rPr>
          <w:rFonts w:asciiTheme="majorBidi" w:hAnsiTheme="majorBidi" w:cstheme="majorBidi"/>
          <w:color w:val="212121"/>
          <w:shd w:val="clear" w:color="auto" w:fill="FFFFFF"/>
        </w:rPr>
        <w:t xml:space="preserve"> R, </w:t>
      </w:r>
      <w:proofErr w:type="spellStart"/>
      <w:r w:rsidRPr="00EF594D">
        <w:rPr>
          <w:rFonts w:asciiTheme="majorBidi" w:hAnsiTheme="majorBidi" w:cstheme="majorBidi"/>
          <w:color w:val="212121"/>
          <w:shd w:val="clear" w:color="auto" w:fill="FFFFFF"/>
        </w:rPr>
        <w:t>Servais</w:t>
      </w:r>
      <w:proofErr w:type="spellEnd"/>
      <w:r w:rsidRPr="00EF594D">
        <w:rPr>
          <w:rFonts w:asciiTheme="majorBidi" w:hAnsiTheme="majorBidi" w:cstheme="majorBidi"/>
          <w:color w:val="212121"/>
          <w:shd w:val="clear" w:color="auto" w:fill="FFFFFF"/>
        </w:rPr>
        <w:t xml:space="preserve"> A, </w:t>
      </w:r>
      <w:proofErr w:type="spellStart"/>
      <w:r w:rsidRPr="00EF594D">
        <w:rPr>
          <w:rFonts w:asciiTheme="majorBidi" w:hAnsiTheme="majorBidi" w:cstheme="majorBidi"/>
          <w:color w:val="212121"/>
          <w:shd w:val="clear" w:color="auto" w:fill="FFFFFF"/>
        </w:rPr>
        <w:t>Anglicheau</w:t>
      </w:r>
      <w:proofErr w:type="spellEnd"/>
      <w:r w:rsidRPr="00EF594D">
        <w:rPr>
          <w:rFonts w:asciiTheme="majorBidi" w:hAnsiTheme="majorBidi" w:cstheme="majorBidi"/>
          <w:color w:val="212121"/>
          <w:shd w:val="clear" w:color="auto" w:fill="FFFFFF"/>
        </w:rPr>
        <w:t xml:space="preserve"> D, et al. Complement-driven hemolytic uremic syndrome. Am J </w:t>
      </w:r>
      <w:proofErr w:type="spellStart"/>
      <w:r w:rsidRPr="00EF594D">
        <w:rPr>
          <w:rFonts w:asciiTheme="majorBidi" w:hAnsiTheme="majorBidi" w:cstheme="majorBidi"/>
          <w:color w:val="212121"/>
          <w:shd w:val="clear" w:color="auto" w:fill="FFFFFF"/>
        </w:rPr>
        <w:t>Hematol</w:t>
      </w:r>
      <w:proofErr w:type="spellEnd"/>
      <w:r w:rsidRPr="00EF594D">
        <w:rPr>
          <w:rFonts w:asciiTheme="majorBidi" w:hAnsiTheme="majorBidi" w:cstheme="majorBidi"/>
          <w:color w:val="212121"/>
          <w:shd w:val="clear" w:color="auto" w:fill="FFFFFF"/>
        </w:rPr>
        <w:t xml:space="preserve">. 2023 May;98 </w:t>
      </w:r>
      <w:proofErr w:type="spellStart"/>
      <w:r w:rsidRPr="00EF594D">
        <w:rPr>
          <w:rFonts w:asciiTheme="majorBidi" w:hAnsiTheme="majorBidi" w:cstheme="majorBidi"/>
          <w:color w:val="212121"/>
          <w:shd w:val="clear" w:color="auto" w:fill="FFFFFF"/>
        </w:rPr>
        <w:t>Suppl</w:t>
      </w:r>
      <w:proofErr w:type="spellEnd"/>
      <w:r w:rsidRPr="00EF594D">
        <w:rPr>
          <w:rFonts w:asciiTheme="majorBidi" w:hAnsiTheme="majorBidi" w:cstheme="majorBidi"/>
          <w:color w:val="212121"/>
          <w:shd w:val="clear" w:color="auto" w:fill="FFFFFF"/>
        </w:rPr>
        <w:t xml:space="preserve"> 4:S44-S56. </w:t>
      </w:r>
      <w:proofErr w:type="spellStart"/>
      <w:r w:rsidRPr="00EF594D">
        <w:rPr>
          <w:rFonts w:asciiTheme="majorBidi" w:hAnsiTheme="majorBidi" w:cstheme="majorBidi"/>
          <w:color w:val="212121"/>
          <w:shd w:val="clear" w:color="auto" w:fill="FFFFFF"/>
        </w:rPr>
        <w:t>doi</w:t>
      </w:r>
      <w:proofErr w:type="spellEnd"/>
      <w:r w:rsidRPr="00EF594D">
        <w:rPr>
          <w:rFonts w:asciiTheme="majorBidi" w:hAnsiTheme="majorBidi" w:cstheme="majorBidi"/>
          <w:color w:val="212121"/>
          <w:shd w:val="clear" w:color="auto" w:fill="FFFFFF"/>
        </w:rPr>
        <w:t>: 10.1002/ajh.26854. PMID: 36683290</w:t>
      </w:r>
      <w:r>
        <w:rPr>
          <w:rFonts w:asciiTheme="majorBidi" w:hAnsiTheme="majorBidi" w:cstheme="majorBidi"/>
          <w:color w:val="212121"/>
          <w:shd w:val="clear" w:color="auto" w:fill="FFFFFF"/>
        </w:rPr>
        <w:t>.</w:t>
      </w:r>
    </w:p>
    <w:p w:rsidR="009A769D" w:rsidRPr="008E4182" w:rsidRDefault="009A769D" w:rsidP="00B7524F">
      <w:pPr>
        <w:pStyle w:val="a7"/>
        <w:numPr>
          <w:ilvl w:val="0"/>
          <w:numId w:val="3"/>
        </w:numPr>
        <w:spacing w:after="0"/>
        <w:ind w:left="360" w:hanging="360"/>
        <w:contextualSpacing w:val="0"/>
        <w:jc w:val="both"/>
        <w:rPr>
          <w:rFonts w:asciiTheme="majorBidi" w:hAnsiTheme="majorBidi" w:cstheme="majorBidi"/>
          <w:kern w:val="0"/>
          <w14:ligatures w14:val="none"/>
        </w:rPr>
      </w:pPr>
      <w:proofErr w:type="spellStart"/>
      <w:r w:rsidRPr="008E4182">
        <w:rPr>
          <w:rFonts w:asciiTheme="majorBidi" w:hAnsiTheme="majorBidi" w:cstheme="majorBidi"/>
          <w:color w:val="1A1A1A"/>
          <w:kern w:val="0"/>
          <w:bdr w:val="none" w:sz="0" w:space="0" w:color="auto" w:frame="1"/>
          <w:shd w:val="clear" w:color="auto" w:fill="FFFFFF"/>
          <w14:ligatures w14:val="none"/>
        </w:rPr>
        <w:t>Alconcher</w:t>
      </w:r>
      <w:proofErr w:type="spellEnd"/>
      <w:r w:rsidRPr="008E4182">
        <w:rPr>
          <w:rFonts w:asciiTheme="majorBidi" w:hAnsiTheme="majorBidi" w:cstheme="majorBidi"/>
          <w:color w:val="1A1A1A"/>
          <w:kern w:val="0"/>
          <w:bdr w:val="none" w:sz="0" w:space="0" w:color="auto" w:frame="1"/>
          <w:shd w:val="clear" w:color="auto" w:fill="FFFFFF"/>
          <w14:ligatures w14:val="none"/>
        </w:rPr>
        <w:t> LF</w:t>
      </w:r>
      <w:r w:rsidRPr="008E4182">
        <w:rPr>
          <w:rFonts w:asciiTheme="majorBidi" w:eastAsia="Times New Roman" w:hAnsiTheme="majorBidi" w:cstheme="majorBidi"/>
          <w:color w:val="1A1A1A"/>
          <w:kern w:val="0"/>
          <w:bdr w:val="none" w:sz="0" w:space="0" w:color="auto" w:frame="1"/>
          <w:shd w:val="clear" w:color="auto" w:fill="FFFFFF"/>
          <w14:ligatures w14:val="none"/>
        </w:rPr>
        <w:t>, </w:t>
      </w:r>
      <w:proofErr w:type="spellStart"/>
      <w:r w:rsidRPr="008E4182">
        <w:rPr>
          <w:rFonts w:asciiTheme="majorBidi" w:hAnsiTheme="majorBidi" w:cstheme="majorBidi"/>
          <w:color w:val="1A1A1A"/>
          <w:kern w:val="0"/>
          <w:bdr w:val="none" w:sz="0" w:space="0" w:color="auto" w:frame="1"/>
          <w:shd w:val="clear" w:color="auto" w:fill="FFFFFF"/>
          <w14:ligatures w14:val="none"/>
        </w:rPr>
        <w:t>Lucarelli</w:t>
      </w:r>
      <w:proofErr w:type="spellEnd"/>
      <w:r w:rsidRPr="008E4182">
        <w:rPr>
          <w:rFonts w:asciiTheme="majorBidi" w:hAnsiTheme="majorBidi" w:cstheme="majorBidi"/>
          <w:color w:val="1A1A1A"/>
          <w:kern w:val="0"/>
          <w:bdr w:val="none" w:sz="0" w:space="0" w:color="auto" w:frame="1"/>
          <w:shd w:val="clear" w:color="auto" w:fill="FFFFFF"/>
          <w14:ligatures w14:val="none"/>
        </w:rPr>
        <w:t> LI</w:t>
      </w:r>
      <w:r w:rsidRPr="008E4182">
        <w:rPr>
          <w:rFonts w:asciiTheme="majorBidi" w:eastAsia="Times New Roman" w:hAnsiTheme="majorBidi" w:cstheme="majorBidi"/>
          <w:color w:val="1A1A1A"/>
          <w:kern w:val="0"/>
          <w:bdr w:val="none" w:sz="0" w:space="0" w:color="auto" w:frame="1"/>
          <w:shd w:val="clear" w:color="auto" w:fill="FFFFFF"/>
          <w14:ligatures w14:val="none"/>
        </w:rPr>
        <w:t>, </w:t>
      </w:r>
      <w:proofErr w:type="spellStart"/>
      <w:r w:rsidRPr="008E4182">
        <w:rPr>
          <w:rFonts w:asciiTheme="majorBidi" w:hAnsiTheme="majorBidi" w:cstheme="majorBidi"/>
          <w:color w:val="1A1A1A"/>
          <w:kern w:val="0"/>
          <w:bdr w:val="none" w:sz="0" w:space="0" w:color="auto" w:frame="1"/>
          <w:shd w:val="clear" w:color="auto" w:fill="FFFFFF"/>
          <w14:ligatures w14:val="none"/>
        </w:rPr>
        <w:t>Bronfen</w:t>
      </w:r>
      <w:proofErr w:type="spellEnd"/>
      <w:r w:rsidRPr="008E4182">
        <w:rPr>
          <w:rFonts w:asciiTheme="majorBidi" w:hAnsiTheme="majorBidi" w:cstheme="majorBidi"/>
          <w:color w:val="1A1A1A"/>
          <w:kern w:val="0"/>
          <w:bdr w:val="none" w:sz="0" w:space="0" w:color="auto" w:frame="1"/>
          <w:shd w:val="clear" w:color="auto" w:fill="FFFFFF"/>
          <w14:ligatures w14:val="none"/>
        </w:rPr>
        <w:t> S</w:t>
      </w:r>
      <w:r w:rsidRPr="008E4182">
        <w:rPr>
          <w:rFonts w:asciiTheme="majorBidi" w:eastAsia="Times New Roman" w:hAnsiTheme="majorBidi" w:cstheme="majorBidi"/>
          <w:color w:val="1A1A1A"/>
          <w:kern w:val="0"/>
          <w:bdr w:val="none" w:sz="0" w:space="0" w:color="auto" w:frame="1"/>
          <w:shd w:val="clear" w:color="auto" w:fill="FFFFFF"/>
          <w14:ligatures w14:val="none"/>
        </w:rPr>
        <w:t>, et al</w:t>
      </w:r>
      <w:r w:rsidRPr="008E4182">
        <w:rPr>
          <w:rFonts w:asciiTheme="majorBidi" w:hAnsiTheme="majorBidi" w:cstheme="majorBidi"/>
          <w:color w:val="1A1A1A"/>
          <w:kern w:val="0"/>
          <w:shd w:val="clear" w:color="auto" w:fill="FFFFFF"/>
          <w14:ligatures w14:val="none"/>
        </w:rPr>
        <w:t>. </w:t>
      </w:r>
      <w:r w:rsidRPr="008E4182">
        <w:rPr>
          <w:rFonts w:asciiTheme="majorBidi" w:hAnsiTheme="majorBidi" w:cstheme="majorBidi"/>
          <w:color w:val="1A1A1A"/>
          <w:kern w:val="0"/>
          <w:bdr w:val="none" w:sz="0" w:space="0" w:color="auto" w:frame="1"/>
          <w:shd w:val="clear" w:color="auto" w:fill="FFFFFF"/>
          <w14:ligatures w14:val="none"/>
        </w:rPr>
        <w:t>Kidney sequelae in 281 Shiga toxin-producing Escherichia coli-hemolytic uremic syndrome patients after a median follow-up of 12 years</w:t>
      </w:r>
      <w:r w:rsidRPr="008E4182">
        <w:rPr>
          <w:rFonts w:asciiTheme="majorBidi" w:hAnsiTheme="majorBidi" w:cstheme="majorBidi"/>
          <w:color w:val="1A1A1A"/>
          <w:kern w:val="0"/>
          <w:shd w:val="clear" w:color="auto" w:fill="FFFFFF"/>
          <w14:ligatures w14:val="none"/>
        </w:rPr>
        <w:t>. </w:t>
      </w:r>
      <w:proofErr w:type="spellStart"/>
      <w:r w:rsidRPr="008E4182">
        <w:rPr>
          <w:rFonts w:asciiTheme="majorBidi" w:hAnsiTheme="majorBidi" w:cstheme="majorBidi"/>
          <w:i/>
          <w:iCs/>
          <w:color w:val="1A1A1A"/>
          <w:kern w:val="0"/>
          <w:bdr w:val="none" w:sz="0" w:space="0" w:color="auto" w:frame="1"/>
          <w:shd w:val="clear" w:color="auto" w:fill="FFFFFF"/>
          <w14:ligatures w14:val="none"/>
        </w:rPr>
        <w:t>Pediatr</w:t>
      </w:r>
      <w:proofErr w:type="spellEnd"/>
      <w:r w:rsidRPr="008E4182">
        <w:rPr>
          <w:rFonts w:asciiTheme="majorBidi" w:hAnsiTheme="majorBidi" w:cstheme="majorBidi"/>
          <w:i/>
          <w:iCs/>
          <w:color w:val="1A1A1A"/>
          <w:kern w:val="0"/>
          <w:bdr w:val="none" w:sz="0" w:space="0" w:color="auto" w:frame="1"/>
          <w:shd w:val="clear" w:color="auto" w:fill="FFFFFF"/>
          <w14:ligatures w14:val="none"/>
        </w:rPr>
        <w:t xml:space="preserve"> </w:t>
      </w:r>
      <w:proofErr w:type="spellStart"/>
      <w:r w:rsidRPr="008E4182">
        <w:rPr>
          <w:rFonts w:asciiTheme="majorBidi" w:hAnsiTheme="majorBidi" w:cstheme="majorBidi"/>
          <w:i/>
          <w:iCs/>
          <w:color w:val="1A1A1A"/>
          <w:kern w:val="0"/>
          <w:bdr w:val="none" w:sz="0" w:space="0" w:color="auto" w:frame="1"/>
          <w:shd w:val="clear" w:color="auto" w:fill="FFFFFF"/>
          <w14:ligatures w14:val="none"/>
        </w:rPr>
        <w:t>Nephrol</w:t>
      </w:r>
      <w:proofErr w:type="spellEnd"/>
      <w:r w:rsidRPr="008E4182">
        <w:rPr>
          <w:rFonts w:asciiTheme="majorBidi" w:hAnsiTheme="majorBidi" w:cstheme="majorBidi"/>
          <w:color w:val="1A1A1A"/>
          <w:kern w:val="0"/>
          <w:shd w:val="clear" w:color="auto" w:fill="FFFFFF"/>
          <w14:ligatures w14:val="none"/>
        </w:rPr>
        <w:t>. </w:t>
      </w:r>
      <w:r w:rsidRPr="008E4182">
        <w:rPr>
          <w:rFonts w:asciiTheme="majorBidi" w:hAnsiTheme="majorBidi" w:cstheme="majorBidi"/>
          <w:color w:val="1A1A1A"/>
          <w:kern w:val="0"/>
          <w:bdr w:val="none" w:sz="0" w:space="0" w:color="auto" w:frame="1"/>
          <w:shd w:val="clear" w:color="auto" w:fill="FFFFFF"/>
          <w14:ligatures w14:val="none"/>
        </w:rPr>
        <w:t>2024</w:t>
      </w:r>
      <w:r w:rsidRPr="008E4182">
        <w:rPr>
          <w:rFonts w:asciiTheme="majorBidi" w:hAnsiTheme="majorBidi" w:cstheme="majorBidi"/>
          <w:color w:val="1A1A1A"/>
          <w:kern w:val="0"/>
          <w:shd w:val="clear" w:color="auto" w:fill="FFFFFF"/>
          <w14:ligatures w14:val="none"/>
        </w:rPr>
        <w:t>;</w:t>
      </w:r>
      <w:r w:rsidRPr="008E4182">
        <w:rPr>
          <w:rFonts w:asciiTheme="majorBidi" w:hAnsiTheme="majorBidi" w:cstheme="majorBidi"/>
          <w:color w:val="1A1A1A"/>
          <w:kern w:val="0"/>
          <w:bdr w:val="none" w:sz="0" w:space="0" w:color="auto" w:frame="1"/>
          <w:shd w:val="clear" w:color="auto" w:fill="FFFFFF"/>
          <w14:ligatures w14:val="none"/>
        </w:rPr>
        <w:t>39</w:t>
      </w:r>
      <w:r w:rsidRPr="008E4182">
        <w:rPr>
          <w:rFonts w:asciiTheme="majorBidi" w:hAnsiTheme="majorBidi" w:cstheme="majorBidi"/>
          <w:color w:val="1A1A1A"/>
          <w:kern w:val="0"/>
          <w:shd w:val="clear" w:color="auto" w:fill="FFFFFF"/>
          <w14:ligatures w14:val="none"/>
        </w:rPr>
        <w:t>(</w:t>
      </w:r>
      <w:r w:rsidRPr="008E4182">
        <w:rPr>
          <w:rFonts w:asciiTheme="majorBidi" w:hAnsiTheme="majorBidi" w:cstheme="majorBidi"/>
          <w:color w:val="1A1A1A"/>
          <w:kern w:val="0"/>
          <w:bdr w:val="none" w:sz="0" w:space="0" w:color="auto" w:frame="1"/>
          <w:shd w:val="clear" w:color="auto" w:fill="FFFFFF"/>
          <w14:ligatures w14:val="none"/>
        </w:rPr>
        <w:t>4</w:t>
      </w:r>
      <w:r w:rsidRPr="008E4182">
        <w:rPr>
          <w:rFonts w:asciiTheme="majorBidi" w:hAnsiTheme="majorBidi" w:cstheme="majorBidi"/>
          <w:color w:val="1A1A1A"/>
          <w:kern w:val="0"/>
          <w:shd w:val="clear" w:color="auto" w:fill="FFFFFF"/>
          <w14:ligatures w14:val="none"/>
        </w:rPr>
        <w:t>):</w:t>
      </w:r>
      <w:r w:rsidRPr="008E4182">
        <w:rPr>
          <w:rFonts w:asciiTheme="majorBidi" w:hAnsiTheme="majorBidi" w:cstheme="majorBidi"/>
          <w:color w:val="1A1A1A"/>
          <w:kern w:val="0"/>
          <w:bdr w:val="none" w:sz="0" w:space="0" w:color="auto" w:frame="1"/>
          <w:shd w:val="clear" w:color="auto" w:fill="FFFFFF"/>
          <w14:ligatures w14:val="none"/>
        </w:rPr>
        <w:t>1221</w:t>
      </w:r>
      <w:r w:rsidRPr="008E4182">
        <w:rPr>
          <w:rFonts w:asciiTheme="majorBidi" w:hAnsiTheme="majorBidi" w:cstheme="majorBidi"/>
          <w:color w:val="1A1A1A"/>
          <w:kern w:val="0"/>
          <w:shd w:val="clear" w:color="auto" w:fill="FFFFFF"/>
          <w14:ligatures w14:val="none"/>
        </w:rPr>
        <w:t>-</w:t>
      </w:r>
      <w:r w:rsidRPr="008E4182">
        <w:rPr>
          <w:rFonts w:asciiTheme="majorBidi" w:hAnsiTheme="majorBidi" w:cstheme="majorBidi"/>
          <w:color w:val="1A1A1A"/>
          <w:kern w:val="0"/>
          <w:bdr w:val="none" w:sz="0" w:space="0" w:color="auto" w:frame="1"/>
          <w:shd w:val="clear" w:color="auto" w:fill="FFFFFF"/>
          <w14:ligatures w14:val="none"/>
        </w:rPr>
        <w:t>1228</w:t>
      </w:r>
      <w:r w:rsidRPr="008E4182">
        <w:rPr>
          <w:rFonts w:asciiTheme="majorBidi" w:hAnsiTheme="majorBidi" w:cstheme="majorBidi"/>
          <w:color w:val="1A1A1A"/>
          <w:kern w:val="0"/>
          <w:shd w:val="clear" w:color="auto" w:fill="FFFFFF"/>
          <w14:ligatures w14:val="none"/>
        </w:rPr>
        <w:t xml:space="preserve">; </w:t>
      </w:r>
      <w:proofErr w:type="spellStart"/>
      <w:r w:rsidRPr="008E4182">
        <w:rPr>
          <w:rFonts w:asciiTheme="majorBidi" w:hAnsiTheme="majorBidi" w:cstheme="majorBidi"/>
          <w:color w:val="1A1A1A"/>
          <w:kern w:val="0"/>
          <w:shd w:val="clear" w:color="auto" w:fill="FFFFFF"/>
          <w14:ligatures w14:val="none"/>
        </w:rPr>
        <w:t>doi</w:t>
      </w:r>
      <w:proofErr w:type="spellEnd"/>
      <w:r w:rsidRPr="008E4182">
        <w:rPr>
          <w:rFonts w:asciiTheme="majorBidi" w:hAnsiTheme="majorBidi" w:cstheme="majorBidi"/>
          <w:color w:val="1A1A1A"/>
          <w:kern w:val="0"/>
          <w:shd w:val="clear" w:color="auto" w:fill="FFFFFF"/>
          <w14:ligatures w14:val="none"/>
        </w:rPr>
        <w:t>: </w:t>
      </w:r>
      <w:r w:rsidRPr="008E4182">
        <w:rPr>
          <w:rFonts w:asciiTheme="majorBidi" w:hAnsiTheme="majorBidi" w:cstheme="majorBidi"/>
          <w:color w:val="1A1A1A"/>
          <w:kern w:val="0"/>
          <w:bdr w:val="none" w:sz="0" w:space="0" w:color="auto" w:frame="1"/>
          <w:shd w:val="clear" w:color="auto" w:fill="FFFFFF"/>
          <w14:ligatures w14:val="none"/>
        </w:rPr>
        <w:t>https://doi.org/10.1007/s00467-023-06183-7</w:t>
      </w:r>
      <w:r w:rsidRPr="008E4182">
        <w:rPr>
          <w:rFonts w:asciiTheme="majorBidi" w:hAnsiTheme="majorBidi" w:cstheme="majorBidi"/>
          <w:color w:val="1A1A1A"/>
          <w:kern w:val="0"/>
          <w:shd w:val="clear" w:color="auto" w:fill="FFFFFF"/>
          <w14:ligatures w14:val="none"/>
        </w:rPr>
        <w:t>.</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Boyer O, </w:t>
      </w:r>
      <w:proofErr w:type="spellStart"/>
      <w:r w:rsidRPr="008E4182">
        <w:rPr>
          <w:rFonts w:asciiTheme="majorBidi" w:hAnsiTheme="majorBidi" w:cstheme="majorBidi"/>
          <w:color w:val="212121"/>
        </w:rPr>
        <w:t>Niaudet</w:t>
      </w:r>
      <w:proofErr w:type="spellEnd"/>
      <w:r w:rsidRPr="008E4182">
        <w:rPr>
          <w:rFonts w:asciiTheme="majorBidi" w:hAnsiTheme="majorBidi" w:cstheme="majorBidi"/>
          <w:color w:val="212121"/>
        </w:rPr>
        <w:t xml:space="preserve"> P. Hemolytic-Uremic Syndrome in Children. </w:t>
      </w:r>
      <w:proofErr w:type="spellStart"/>
      <w:r w:rsidRPr="008E4182">
        <w:rPr>
          <w:rFonts w:asciiTheme="majorBidi" w:hAnsiTheme="majorBidi" w:cstheme="majorBidi"/>
          <w:color w:val="212121"/>
        </w:rPr>
        <w:t>Pediatr</w:t>
      </w:r>
      <w:proofErr w:type="spellEnd"/>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Clin</w:t>
      </w:r>
      <w:proofErr w:type="spellEnd"/>
      <w:r w:rsidRPr="008E4182">
        <w:rPr>
          <w:rFonts w:asciiTheme="majorBidi" w:hAnsiTheme="majorBidi" w:cstheme="majorBidi"/>
          <w:color w:val="212121"/>
        </w:rPr>
        <w:t xml:space="preserve"> North Am. 2022 Dec;69(6):1181-1197.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10.1016/j.pcl.2022.07.006. </w:t>
      </w:r>
      <w:proofErr w:type="spellStart"/>
      <w:r w:rsidRPr="008E4182">
        <w:rPr>
          <w:rFonts w:asciiTheme="majorBidi" w:hAnsiTheme="majorBidi" w:cstheme="majorBidi"/>
          <w:color w:val="212121"/>
        </w:rPr>
        <w:t>Epub</w:t>
      </w:r>
      <w:proofErr w:type="spellEnd"/>
      <w:r w:rsidRPr="008E4182">
        <w:rPr>
          <w:rFonts w:asciiTheme="majorBidi" w:hAnsiTheme="majorBidi" w:cstheme="majorBidi"/>
          <w:color w:val="212121"/>
        </w:rPr>
        <w:t xml:space="preserve"> 2022 Oct 29. PMID: 36880929.</w:t>
      </w:r>
    </w:p>
    <w:p w:rsidR="009A769D" w:rsidRPr="00B7524F" w:rsidRDefault="009A769D" w:rsidP="00B7524F">
      <w:pPr>
        <w:numPr>
          <w:ilvl w:val="0"/>
          <w:numId w:val="3"/>
        </w:numPr>
        <w:spacing w:after="0" w:line="276" w:lineRule="auto"/>
        <w:ind w:left="360" w:hanging="360"/>
        <w:rPr>
          <w:rFonts w:asciiTheme="majorBidi" w:hAnsiTheme="majorBidi" w:cstheme="majorBidi"/>
        </w:rPr>
      </w:pPr>
      <w:proofErr w:type="spellStart"/>
      <w:r w:rsidRPr="00B7524F">
        <w:rPr>
          <w:rFonts w:asciiTheme="majorBidi" w:hAnsiTheme="majorBidi" w:cstheme="majorBidi"/>
          <w:color w:val="212121"/>
        </w:rPr>
        <w:t>Spinale</w:t>
      </w:r>
      <w:proofErr w:type="spellEnd"/>
      <w:r w:rsidRPr="00B7524F">
        <w:rPr>
          <w:rFonts w:asciiTheme="majorBidi" w:hAnsiTheme="majorBidi" w:cstheme="majorBidi"/>
          <w:color w:val="212121"/>
        </w:rPr>
        <w:t xml:space="preserve"> JM, </w:t>
      </w:r>
      <w:proofErr w:type="spellStart"/>
      <w:r w:rsidRPr="00B7524F">
        <w:rPr>
          <w:rFonts w:asciiTheme="majorBidi" w:hAnsiTheme="majorBidi" w:cstheme="majorBidi"/>
          <w:color w:val="212121"/>
        </w:rPr>
        <w:t>Ruebner</w:t>
      </w:r>
      <w:proofErr w:type="spellEnd"/>
      <w:r w:rsidRPr="00B7524F">
        <w:rPr>
          <w:rFonts w:asciiTheme="majorBidi" w:hAnsiTheme="majorBidi" w:cstheme="majorBidi"/>
          <w:color w:val="212121"/>
        </w:rPr>
        <w:t xml:space="preserve"> RL, </w:t>
      </w:r>
      <w:proofErr w:type="spellStart"/>
      <w:r w:rsidRPr="00B7524F">
        <w:rPr>
          <w:rFonts w:asciiTheme="majorBidi" w:hAnsiTheme="majorBidi" w:cstheme="majorBidi"/>
          <w:color w:val="212121"/>
        </w:rPr>
        <w:t>Copelovitch</w:t>
      </w:r>
      <w:proofErr w:type="spellEnd"/>
      <w:r w:rsidRPr="00B7524F">
        <w:rPr>
          <w:rFonts w:asciiTheme="majorBidi" w:hAnsiTheme="majorBidi" w:cstheme="majorBidi"/>
          <w:color w:val="212121"/>
        </w:rPr>
        <w:t xml:space="preserve"> L, Kaplan BS. Long-term outcomes of </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 xml:space="preserve">Shiga toxin hemolytic uremic syndrome. </w:t>
      </w:r>
      <w:proofErr w:type="spellStart"/>
      <w:r w:rsidRPr="00B7524F">
        <w:rPr>
          <w:rFonts w:asciiTheme="majorBidi" w:hAnsiTheme="majorBidi" w:cstheme="majorBidi"/>
          <w:color w:val="212121"/>
        </w:rPr>
        <w:t>Pediatr</w:t>
      </w:r>
      <w:proofErr w:type="spellEnd"/>
      <w:r w:rsidRPr="00B7524F">
        <w:rPr>
          <w:rFonts w:asciiTheme="majorBidi" w:hAnsiTheme="majorBidi" w:cstheme="majorBidi"/>
          <w:color w:val="212121"/>
        </w:rPr>
        <w:t xml:space="preserve"> </w:t>
      </w:r>
      <w:proofErr w:type="spellStart"/>
      <w:r w:rsidRPr="00B7524F">
        <w:rPr>
          <w:rFonts w:asciiTheme="majorBidi" w:hAnsiTheme="majorBidi" w:cstheme="majorBidi"/>
          <w:color w:val="212121"/>
        </w:rPr>
        <w:t>Nephrol</w:t>
      </w:r>
      <w:proofErr w:type="spellEnd"/>
      <w:r w:rsidRPr="00B7524F">
        <w:rPr>
          <w:rFonts w:asciiTheme="majorBidi" w:hAnsiTheme="majorBidi" w:cstheme="majorBidi"/>
          <w:color w:val="212121"/>
        </w:rPr>
        <w:t xml:space="preserve">. 2013 Nov;28(11):2097105. </w:t>
      </w:r>
      <w:proofErr w:type="spellStart"/>
      <w:r w:rsidRPr="00B7524F">
        <w:rPr>
          <w:rFonts w:asciiTheme="majorBidi" w:hAnsiTheme="majorBidi" w:cstheme="majorBidi"/>
          <w:color w:val="212121"/>
        </w:rPr>
        <w:t>doi</w:t>
      </w:r>
      <w:proofErr w:type="spellEnd"/>
      <w:r w:rsidRPr="00B7524F">
        <w:rPr>
          <w:rFonts w:asciiTheme="majorBidi" w:hAnsiTheme="majorBidi" w:cstheme="majorBidi"/>
          <w:color w:val="212121"/>
        </w:rPr>
        <w:t>: 10.1007/s00467-012-2383-6.</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Pundzienė</w:t>
      </w:r>
      <w:proofErr w:type="spellEnd"/>
      <w:r w:rsidRPr="008E4182">
        <w:rPr>
          <w:rFonts w:asciiTheme="majorBidi" w:hAnsiTheme="majorBidi" w:cstheme="majorBidi"/>
          <w:color w:val="212121"/>
        </w:rPr>
        <w:t xml:space="preserve"> B, </w:t>
      </w:r>
      <w:proofErr w:type="spellStart"/>
      <w:r w:rsidRPr="008E4182">
        <w:rPr>
          <w:rFonts w:asciiTheme="majorBidi" w:hAnsiTheme="majorBidi" w:cstheme="majorBidi"/>
          <w:color w:val="212121"/>
        </w:rPr>
        <w:t>Dobilienė</w:t>
      </w:r>
      <w:proofErr w:type="spellEnd"/>
      <w:r w:rsidRPr="008E4182">
        <w:rPr>
          <w:rFonts w:asciiTheme="majorBidi" w:hAnsiTheme="majorBidi" w:cstheme="majorBidi"/>
          <w:color w:val="212121"/>
        </w:rPr>
        <w:t xml:space="preserve"> D, </w:t>
      </w:r>
      <w:proofErr w:type="spellStart"/>
      <w:r w:rsidRPr="008E4182">
        <w:rPr>
          <w:rFonts w:asciiTheme="majorBidi" w:hAnsiTheme="majorBidi" w:cstheme="majorBidi"/>
          <w:color w:val="212121"/>
        </w:rPr>
        <w:t>Čerkauskienė</w:t>
      </w:r>
      <w:proofErr w:type="spellEnd"/>
      <w:r w:rsidRPr="008E4182">
        <w:rPr>
          <w:rFonts w:asciiTheme="majorBidi" w:hAnsiTheme="majorBidi" w:cstheme="majorBidi"/>
          <w:color w:val="212121"/>
        </w:rPr>
        <w:t xml:space="preserve"> R, </w:t>
      </w:r>
      <w:proofErr w:type="spellStart"/>
      <w:r w:rsidRPr="008E4182">
        <w:rPr>
          <w:rFonts w:asciiTheme="majorBidi" w:hAnsiTheme="majorBidi" w:cstheme="majorBidi"/>
          <w:color w:val="212121"/>
        </w:rPr>
        <w:t>Mitkienė</w:t>
      </w:r>
      <w:proofErr w:type="spellEnd"/>
      <w:r w:rsidRPr="008E4182">
        <w:rPr>
          <w:rFonts w:asciiTheme="majorBidi" w:hAnsiTheme="majorBidi" w:cstheme="majorBidi"/>
          <w:color w:val="212121"/>
        </w:rPr>
        <w:t xml:space="preserve"> R, </w:t>
      </w:r>
      <w:proofErr w:type="spellStart"/>
      <w:r w:rsidRPr="008E4182">
        <w:rPr>
          <w:rFonts w:asciiTheme="majorBidi" w:hAnsiTheme="majorBidi" w:cstheme="majorBidi"/>
          <w:color w:val="212121"/>
        </w:rPr>
        <w:t>Medzevičienė</w:t>
      </w:r>
      <w:proofErr w:type="spellEnd"/>
      <w:r w:rsidRPr="008E4182">
        <w:rPr>
          <w:rFonts w:asciiTheme="majorBidi" w:hAnsiTheme="majorBidi" w:cstheme="majorBidi"/>
          <w:color w:val="212121"/>
        </w:rPr>
        <w:t xml:space="preserve"> A, et al. Long-term follow-up of children with typical hemolytic uremic syndrome. </w:t>
      </w:r>
      <w:proofErr w:type="spellStart"/>
      <w:r w:rsidRPr="008E4182">
        <w:rPr>
          <w:rFonts w:asciiTheme="majorBidi" w:hAnsiTheme="majorBidi" w:cstheme="majorBidi"/>
          <w:color w:val="212121"/>
        </w:rPr>
        <w:t>Medicina</w:t>
      </w:r>
      <w:proofErr w:type="spellEnd"/>
      <w:r w:rsidRPr="008E4182">
        <w:rPr>
          <w:rFonts w:asciiTheme="majorBidi" w:hAnsiTheme="majorBidi" w:cstheme="majorBidi"/>
          <w:color w:val="212121"/>
        </w:rPr>
        <w:t xml:space="preserve"> (Kaunas). 2015;51(3):146-151.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10.1016/j.medici.2015.06.004. </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Abdelnabi</w:t>
      </w:r>
      <w:proofErr w:type="spellEnd"/>
      <w:r w:rsidRPr="008E4182">
        <w:rPr>
          <w:rFonts w:asciiTheme="majorBidi" w:hAnsiTheme="majorBidi" w:cstheme="majorBidi"/>
          <w:color w:val="212121"/>
        </w:rPr>
        <w:t xml:space="preserve"> HH, Abo </w:t>
      </w:r>
      <w:proofErr w:type="spellStart"/>
      <w:r w:rsidRPr="008E4182">
        <w:rPr>
          <w:rFonts w:asciiTheme="majorBidi" w:hAnsiTheme="majorBidi" w:cstheme="majorBidi"/>
          <w:color w:val="212121"/>
        </w:rPr>
        <w:t>Elhana</w:t>
      </w:r>
      <w:proofErr w:type="spellEnd"/>
      <w:r w:rsidRPr="008E4182">
        <w:rPr>
          <w:rFonts w:asciiTheme="majorBidi" w:hAnsiTheme="majorBidi" w:cstheme="majorBidi"/>
          <w:color w:val="212121"/>
        </w:rPr>
        <w:t xml:space="preserve"> NM, </w:t>
      </w:r>
      <w:proofErr w:type="spellStart"/>
      <w:r w:rsidRPr="008E4182">
        <w:rPr>
          <w:rFonts w:asciiTheme="majorBidi" w:hAnsiTheme="majorBidi" w:cstheme="majorBidi"/>
          <w:color w:val="212121"/>
        </w:rPr>
        <w:t>Swilam</w:t>
      </w:r>
      <w:proofErr w:type="spellEnd"/>
      <w:r w:rsidRPr="008E4182">
        <w:rPr>
          <w:rFonts w:asciiTheme="majorBidi" w:hAnsiTheme="majorBidi" w:cstheme="majorBidi"/>
          <w:color w:val="212121"/>
        </w:rPr>
        <w:t xml:space="preserve"> EA, </w:t>
      </w:r>
      <w:proofErr w:type="spellStart"/>
      <w:r w:rsidRPr="008E4182">
        <w:rPr>
          <w:rFonts w:asciiTheme="majorBidi" w:hAnsiTheme="majorBidi" w:cstheme="majorBidi"/>
          <w:color w:val="212121"/>
        </w:rPr>
        <w:t>Elnemr</w:t>
      </w:r>
      <w:proofErr w:type="spellEnd"/>
      <w:r w:rsidRPr="008E4182">
        <w:rPr>
          <w:rFonts w:asciiTheme="majorBidi" w:hAnsiTheme="majorBidi" w:cstheme="majorBidi"/>
          <w:color w:val="212121"/>
        </w:rPr>
        <w:t xml:space="preserve"> SB. Hemolytic Uremic Syndrome in Egyptian Children: A Single Center Experience across 10 Years. Saudi J Kidney Dis </w:t>
      </w:r>
      <w:proofErr w:type="spellStart"/>
      <w:r w:rsidRPr="008E4182">
        <w:rPr>
          <w:rFonts w:asciiTheme="majorBidi" w:hAnsiTheme="majorBidi" w:cstheme="majorBidi"/>
          <w:color w:val="212121"/>
        </w:rPr>
        <w:t>Transpl</w:t>
      </w:r>
      <w:proofErr w:type="spellEnd"/>
      <w:r w:rsidRPr="008E4182">
        <w:rPr>
          <w:rFonts w:asciiTheme="majorBidi" w:hAnsiTheme="majorBidi" w:cstheme="majorBidi"/>
          <w:color w:val="212121"/>
        </w:rPr>
        <w:t xml:space="preserve">. 2022 Aug;33(Supplement):S121-S128.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10.4103/1319-2442.384184. </w:t>
      </w:r>
    </w:p>
    <w:p w:rsidR="009A769D" w:rsidRPr="0089781D" w:rsidRDefault="009A769D" w:rsidP="00B7524F">
      <w:pPr>
        <w:numPr>
          <w:ilvl w:val="0"/>
          <w:numId w:val="3"/>
        </w:numPr>
        <w:spacing w:after="0" w:line="276" w:lineRule="auto"/>
        <w:ind w:left="360" w:hanging="360"/>
        <w:rPr>
          <w:rFonts w:asciiTheme="majorBidi" w:hAnsiTheme="majorBidi" w:cstheme="majorBidi"/>
          <w:color w:val="212121"/>
        </w:rPr>
      </w:pPr>
      <w:proofErr w:type="spellStart"/>
      <w:r w:rsidRPr="008E4182">
        <w:rPr>
          <w:rFonts w:asciiTheme="majorBidi" w:hAnsiTheme="majorBidi" w:cstheme="majorBidi"/>
          <w:color w:val="212121"/>
        </w:rPr>
        <w:t>Eid</w:t>
      </w:r>
      <w:proofErr w:type="spellEnd"/>
      <w:r w:rsidRPr="008E4182">
        <w:rPr>
          <w:rFonts w:asciiTheme="majorBidi" w:hAnsiTheme="majorBidi" w:cstheme="majorBidi"/>
          <w:color w:val="212121"/>
        </w:rPr>
        <w:t xml:space="preserve"> R, Bakr A, </w:t>
      </w:r>
      <w:proofErr w:type="spellStart"/>
      <w:r w:rsidRPr="008E4182">
        <w:rPr>
          <w:rFonts w:asciiTheme="majorBidi" w:hAnsiTheme="majorBidi" w:cstheme="majorBidi"/>
          <w:color w:val="212121"/>
        </w:rPr>
        <w:t>Elmougy</w:t>
      </w:r>
      <w:proofErr w:type="spellEnd"/>
      <w:r w:rsidRPr="008E4182">
        <w:rPr>
          <w:rFonts w:asciiTheme="majorBidi" w:hAnsiTheme="majorBidi" w:cstheme="majorBidi"/>
          <w:color w:val="212121"/>
        </w:rPr>
        <w:t xml:space="preserve"> A, </w:t>
      </w:r>
      <w:proofErr w:type="spellStart"/>
      <w:r w:rsidRPr="008E4182">
        <w:rPr>
          <w:rFonts w:asciiTheme="majorBidi" w:hAnsiTheme="majorBidi" w:cstheme="majorBidi"/>
          <w:color w:val="212121"/>
        </w:rPr>
        <w:t>Zedan</w:t>
      </w:r>
      <w:proofErr w:type="spellEnd"/>
      <w:r w:rsidRPr="008E4182">
        <w:rPr>
          <w:rFonts w:asciiTheme="majorBidi" w:hAnsiTheme="majorBidi" w:cstheme="majorBidi"/>
          <w:color w:val="212121"/>
        </w:rPr>
        <w:t xml:space="preserve"> MM, </w:t>
      </w:r>
      <w:proofErr w:type="spellStart"/>
      <w:r w:rsidRPr="008E4182">
        <w:rPr>
          <w:rFonts w:asciiTheme="majorBidi" w:hAnsiTheme="majorBidi" w:cstheme="majorBidi"/>
          <w:color w:val="212121"/>
        </w:rPr>
        <w:t>Allam</w:t>
      </w:r>
      <w:proofErr w:type="spellEnd"/>
      <w:r w:rsidRPr="008E4182">
        <w:rPr>
          <w:rFonts w:asciiTheme="majorBidi" w:hAnsiTheme="majorBidi" w:cstheme="majorBidi"/>
          <w:color w:val="212121"/>
        </w:rPr>
        <w:t xml:space="preserve"> NA, et al. </w:t>
      </w:r>
      <w:proofErr w:type="spellStart"/>
      <w:r w:rsidRPr="008E4182">
        <w:rPr>
          <w:rFonts w:asciiTheme="majorBidi" w:hAnsiTheme="majorBidi" w:cstheme="majorBidi"/>
          <w:color w:val="212121"/>
        </w:rPr>
        <w:t>Postdiarrheal</w:t>
      </w:r>
      <w:proofErr w:type="spellEnd"/>
      <w:r w:rsidRPr="008E4182">
        <w:rPr>
          <w:rFonts w:asciiTheme="majorBidi" w:hAnsiTheme="majorBidi" w:cstheme="majorBidi"/>
          <w:color w:val="212121"/>
        </w:rPr>
        <w:t xml:space="preserve"> hemolytic uremic syndrome in Egyptian children: An 11-year single-center experience. Saudi J Kidney Dis </w:t>
      </w:r>
      <w:proofErr w:type="spellStart"/>
      <w:r w:rsidRPr="008E4182">
        <w:rPr>
          <w:rFonts w:asciiTheme="majorBidi" w:hAnsiTheme="majorBidi" w:cstheme="majorBidi"/>
          <w:color w:val="212121"/>
        </w:rPr>
        <w:t>Transpl</w:t>
      </w:r>
      <w:proofErr w:type="spellEnd"/>
      <w:r w:rsidRPr="008E4182">
        <w:rPr>
          <w:rFonts w:asciiTheme="majorBidi" w:hAnsiTheme="majorBidi" w:cstheme="majorBidi"/>
          <w:color w:val="212121"/>
        </w:rPr>
        <w:t xml:space="preserve">. 2020 Nov-Dec;31(6):1376-1387.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10.4103/13192442.308349</w:t>
      </w:r>
      <w:r w:rsidRPr="0089781D">
        <w:rPr>
          <w:rFonts w:asciiTheme="majorBidi" w:hAnsiTheme="majorBidi" w:cstheme="majorBidi"/>
          <w:color w:val="212121"/>
        </w:rPr>
        <w:t>.</w:t>
      </w:r>
    </w:p>
    <w:p w:rsidR="009A769D" w:rsidRDefault="009A769D" w:rsidP="00B7524F">
      <w:pPr>
        <w:numPr>
          <w:ilvl w:val="0"/>
          <w:numId w:val="3"/>
        </w:numPr>
        <w:spacing w:after="0" w:line="276" w:lineRule="auto"/>
        <w:ind w:left="360" w:hanging="360"/>
        <w:rPr>
          <w:rFonts w:asciiTheme="majorBidi" w:hAnsiTheme="majorBidi" w:cstheme="majorBidi"/>
          <w:color w:val="212121"/>
          <w:shd w:val="clear" w:color="auto" w:fill="FFFFFF"/>
        </w:rPr>
      </w:pPr>
      <w:r w:rsidRPr="008E4182">
        <w:rPr>
          <w:rFonts w:asciiTheme="majorBidi" w:hAnsiTheme="majorBidi" w:cstheme="majorBidi"/>
          <w:color w:val="212121"/>
          <w:shd w:val="clear" w:color="auto" w:fill="FFFFFF"/>
        </w:rPr>
        <w:t xml:space="preserve">Loos S, Oh J, van de Loo L, Kemper MJ, </w:t>
      </w:r>
      <w:proofErr w:type="spellStart"/>
      <w:r w:rsidRPr="008E4182">
        <w:rPr>
          <w:rFonts w:asciiTheme="majorBidi" w:hAnsiTheme="majorBidi" w:cstheme="majorBidi"/>
          <w:color w:val="212121"/>
          <w:shd w:val="clear" w:color="auto" w:fill="FFFFFF"/>
        </w:rPr>
        <w:t>Blohm</w:t>
      </w:r>
      <w:proofErr w:type="spellEnd"/>
      <w:r w:rsidRPr="008E4182">
        <w:rPr>
          <w:rFonts w:asciiTheme="majorBidi" w:hAnsiTheme="majorBidi" w:cstheme="majorBidi"/>
          <w:color w:val="212121"/>
          <w:shd w:val="clear" w:color="auto" w:fill="FFFFFF"/>
        </w:rPr>
        <w:t xml:space="preserve"> M, </w:t>
      </w:r>
      <w:proofErr w:type="spellStart"/>
      <w:r w:rsidRPr="008E4182">
        <w:rPr>
          <w:rFonts w:asciiTheme="majorBidi" w:hAnsiTheme="majorBidi" w:cstheme="majorBidi"/>
          <w:color w:val="212121"/>
          <w:shd w:val="clear" w:color="auto" w:fill="FFFFFF"/>
        </w:rPr>
        <w:t>Schild</w:t>
      </w:r>
      <w:proofErr w:type="spellEnd"/>
      <w:r w:rsidRPr="008E4182">
        <w:rPr>
          <w:rFonts w:asciiTheme="majorBidi" w:hAnsiTheme="majorBidi" w:cstheme="majorBidi"/>
          <w:color w:val="212121"/>
          <w:shd w:val="clear" w:color="auto" w:fill="FFFFFF"/>
        </w:rPr>
        <w:t xml:space="preserve"> R. </w:t>
      </w:r>
      <w:proofErr w:type="spellStart"/>
      <w:r w:rsidRPr="008E4182">
        <w:rPr>
          <w:rFonts w:asciiTheme="majorBidi" w:hAnsiTheme="majorBidi" w:cstheme="majorBidi"/>
          <w:color w:val="212121"/>
          <w:shd w:val="clear" w:color="auto" w:fill="FFFFFF"/>
        </w:rPr>
        <w:t>Hemoconcentration</w:t>
      </w:r>
      <w:proofErr w:type="spellEnd"/>
      <w:r w:rsidRPr="008E4182">
        <w:rPr>
          <w:rFonts w:asciiTheme="majorBidi" w:hAnsiTheme="majorBidi" w:cstheme="majorBidi"/>
          <w:color w:val="212121"/>
          <w:shd w:val="clear" w:color="auto" w:fill="FFFFFF"/>
        </w:rPr>
        <w:t xml:space="preserve"> and predictors in Shiga toxin-producing E. coli-hemolytic uremic syndrome (STEC-HUS). </w:t>
      </w:r>
      <w:proofErr w:type="spellStart"/>
      <w:r w:rsidRPr="008E4182">
        <w:rPr>
          <w:rFonts w:asciiTheme="majorBidi" w:hAnsiTheme="majorBidi" w:cstheme="majorBidi"/>
          <w:color w:val="212121"/>
          <w:shd w:val="clear" w:color="auto" w:fill="FFFFFF"/>
        </w:rPr>
        <w:t>Pediatr</w:t>
      </w:r>
      <w:proofErr w:type="spellEnd"/>
      <w:r w:rsidRPr="008E4182">
        <w:rPr>
          <w:rFonts w:asciiTheme="majorBidi" w:hAnsiTheme="majorBidi" w:cstheme="majorBidi"/>
          <w:color w:val="212121"/>
          <w:shd w:val="clear" w:color="auto" w:fill="FFFFFF"/>
        </w:rPr>
        <w:t xml:space="preserve"> </w:t>
      </w:r>
      <w:proofErr w:type="spellStart"/>
      <w:r w:rsidRPr="008E4182">
        <w:rPr>
          <w:rFonts w:asciiTheme="majorBidi" w:hAnsiTheme="majorBidi" w:cstheme="majorBidi"/>
          <w:color w:val="212121"/>
          <w:shd w:val="clear" w:color="auto" w:fill="FFFFFF"/>
        </w:rPr>
        <w:t>Nephrol</w:t>
      </w:r>
      <w:proofErr w:type="spellEnd"/>
      <w:r w:rsidRPr="008E4182">
        <w:rPr>
          <w:rFonts w:asciiTheme="majorBidi" w:hAnsiTheme="majorBidi" w:cstheme="majorBidi"/>
          <w:color w:val="212121"/>
          <w:shd w:val="clear" w:color="auto" w:fill="FFFFFF"/>
        </w:rPr>
        <w:t xml:space="preserve">. 2021 Nov;36(11):3777-3783. </w:t>
      </w:r>
      <w:proofErr w:type="spellStart"/>
      <w:r w:rsidRPr="008E4182">
        <w:rPr>
          <w:rFonts w:asciiTheme="majorBidi" w:hAnsiTheme="majorBidi" w:cstheme="majorBidi"/>
          <w:color w:val="212121"/>
          <w:shd w:val="clear" w:color="auto" w:fill="FFFFFF"/>
        </w:rPr>
        <w:t>doi</w:t>
      </w:r>
      <w:proofErr w:type="spellEnd"/>
      <w:r w:rsidRPr="008E4182">
        <w:rPr>
          <w:rFonts w:asciiTheme="majorBidi" w:hAnsiTheme="majorBidi" w:cstheme="majorBidi"/>
          <w:color w:val="212121"/>
          <w:shd w:val="clear" w:color="auto" w:fill="FFFFFF"/>
        </w:rPr>
        <w:t xml:space="preserve">: 10.1007/s00467-021-05108-6. </w:t>
      </w:r>
      <w:proofErr w:type="spellStart"/>
      <w:r w:rsidRPr="008E4182">
        <w:rPr>
          <w:rFonts w:asciiTheme="majorBidi" w:hAnsiTheme="majorBidi" w:cstheme="majorBidi"/>
          <w:color w:val="212121"/>
          <w:shd w:val="clear" w:color="auto" w:fill="FFFFFF"/>
        </w:rPr>
        <w:t>Epub</w:t>
      </w:r>
      <w:proofErr w:type="spellEnd"/>
      <w:r w:rsidRPr="008E4182">
        <w:rPr>
          <w:rFonts w:asciiTheme="majorBidi" w:hAnsiTheme="majorBidi" w:cstheme="majorBidi"/>
          <w:color w:val="212121"/>
          <w:shd w:val="clear" w:color="auto" w:fill="FFFFFF"/>
        </w:rPr>
        <w:t xml:space="preserve"> 2021 May 27. PMID: 34046736; PMCID: PMC8497454.</w:t>
      </w:r>
    </w:p>
    <w:p w:rsidR="009A769D" w:rsidRPr="0089781D" w:rsidRDefault="009A769D" w:rsidP="00B7524F">
      <w:pPr>
        <w:spacing w:after="160" w:line="278" w:lineRule="auto"/>
        <w:ind w:left="360" w:hanging="360"/>
        <w:jc w:val="left"/>
        <w:rPr>
          <w:rFonts w:asciiTheme="majorBidi" w:hAnsiTheme="majorBidi" w:cstheme="majorBidi"/>
          <w:color w:val="212121"/>
          <w:shd w:val="clear" w:color="auto" w:fill="FFFFFF"/>
        </w:rPr>
      </w:pPr>
      <w:r>
        <w:rPr>
          <w:rFonts w:asciiTheme="majorBidi" w:hAnsiTheme="majorBidi" w:cstheme="majorBidi"/>
          <w:color w:val="212121"/>
          <w:shd w:val="clear" w:color="auto" w:fill="FFFFFF"/>
        </w:rPr>
        <w:br w:type="page"/>
      </w:r>
    </w:p>
    <w:p w:rsidR="009A769D" w:rsidRPr="00B7524F" w:rsidRDefault="009A769D" w:rsidP="00B7524F">
      <w:pPr>
        <w:numPr>
          <w:ilvl w:val="0"/>
          <w:numId w:val="3"/>
        </w:numPr>
        <w:spacing w:after="0" w:line="276" w:lineRule="auto"/>
        <w:ind w:left="360" w:hanging="360"/>
        <w:rPr>
          <w:rFonts w:asciiTheme="majorBidi" w:hAnsiTheme="majorBidi" w:cstheme="majorBidi"/>
          <w:color w:val="212121"/>
        </w:rPr>
      </w:pPr>
      <w:proofErr w:type="spellStart"/>
      <w:r w:rsidRPr="00B7524F">
        <w:rPr>
          <w:rFonts w:asciiTheme="majorBidi" w:hAnsiTheme="majorBidi" w:cstheme="majorBidi"/>
          <w:color w:val="212121"/>
        </w:rPr>
        <w:lastRenderedPageBreak/>
        <w:t>Wijnsma</w:t>
      </w:r>
      <w:proofErr w:type="spellEnd"/>
      <w:r w:rsidRPr="00B7524F">
        <w:rPr>
          <w:rFonts w:asciiTheme="majorBidi" w:hAnsiTheme="majorBidi" w:cstheme="majorBidi"/>
          <w:color w:val="212121"/>
        </w:rPr>
        <w:t xml:space="preserve"> KL, van </w:t>
      </w:r>
      <w:proofErr w:type="spellStart"/>
      <w:r w:rsidRPr="00B7524F">
        <w:rPr>
          <w:rFonts w:asciiTheme="majorBidi" w:hAnsiTheme="majorBidi" w:cstheme="majorBidi"/>
          <w:color w:val="212121"/>
        </w:rPr>
        <w:t>Bommel</w:t>
      </w:r>
      <w:proofErr w:type="spellEnd"/>
      <w:r w:rsidRPr="00B7524F">
        <w:rPr>
          <w:rFonts w:asciiTheme="majorBidi" w:hAnsiTheme="majorBidi" w:cstheme="majorBidi"/>
          <w:color w:val="212121"/>
        </w:rPr>
        <w:t xml:space="preserve"> SA, van der </w:t>
      </w:r>
      <w:proofErr w:type="spellStart"/>
      <w:r w:rsidRPr="00B7524F">
        <w:rPr>
          <w:rFonts w:asciiTheme="majorBidi" w:hAnsiTheme="majorBidi" w:cstheme="majorBidi"/>
          <w:color w:val="212121"/>
        </w:rPr>
        <w:t>Velden</w:t>
      </w:r>
      <w:proofErr w:type="spellEnd"/>
      <w:r w:rsidRPr="00B7524F">
        <w:rPr>
          <w:rFonts w:asciiTheme="majorBidi" w:hAnsiTheme="majorBidi" w:cstheme="majorBidi"/>
          <w:color w:val="212121"/>
        </w:rPr>
        <w:t xml:space="preserve"> T, </w:t>
      </w:r>
      <w:proofErr w:type="spellStart"/>
      <w:r w:rsidRPr="00B7524F">
        <w:rPr>
          <w:rFonts w:asciiTheme="majorBidi" w:hAnsiTheme="majorBidi" w:cstheme="majorBidi"/>
          <w:color w:val="212121"/>
        </w:rPr>
        <w:t>Volokhina</w:t>
      </w:r>
      <w:proofErr w:type="spellEnd"/>
      <w:r w:rsidRPr="00B7524F">
        <w:rPr>
          <w:rFonts w:asciiTheme="majorBidi" w:hAnsiTheme="majorBidi" w:cstheme="majorBidi"/>
          <w:color w:val="212121"/>
        </w:rPr>
        <w:t xml:space="preserve"> E, </w:t>
      </w:r>
      <w:proofErr w:type="spellStart"/>
      <w:r w:rsidRPr="00B7524F">
        <w:rPr>
          <w:rFonts w:asciiTheme="majorBidi" w:hAnsiTheme="majorBidi" w:cstheme="majorBidi"/>
          <w:color w:val="212121"/>
        </w:rPr>
        <w:t>Schreuder</w:t>
      </w:r>
      <w:proofErr w:type="spellEnd"/>
      <w:r w:rsidRPr="00B7524F">
        <w:rPr>
          <w:rFonts w:asciiTheme="majorBidi" w:hAnsiTheme="majorBidi" w:cstheme="majorBidi"/>
          <w:color w:val="212121"/>
        </w:rPr>
        <w:t xml:space="preserve"> MF et al. Fecal diagnostics in combination with serology: best test to establish STEC-</w:t>
      </w:r>
      <w:r w:rsidR="00B7524F" w:rsidRPr="00B7524F">
        <w:rPr>
          <w:rFonts w:asciiTheme="majorBidi" w:hAnsiTheme="majorBidi" w:cstheme="majorBidi"/>
          <w:color w:val="212121"/>
        </w:rPr>
        <w:t xml:space="preserve"> </w:t>
      </w:r>
      <w:r w:rsidRPr="00B7524F">
        <w:rPr>
          <w:rFonts w:asciiTheme="majorBidi" w:hAnsiTheme="majorBidi" w:cstheme="majorBidi"/>
          <w:color w:val="212121"/>
        </w:rPr>
        <w:t xml:space="preserve">HUS. </w:t>
      </w:r>
      <w:proofErr w:type="spellStart"/>
      <w:r w:rsidRPr="00B7524F">
        <w:rPr>
          <w:rFonts w:asciiTheme="majorBidi" w:hAnsiTheme="majorBidi" w:cstheme="majorBidi"/>
          <w:color w:val="212121"/>
        </w:rPr>
        <w:t>Pediatr</w:t>
      </w:r>
      <w:proofErr w:type="spellEnd"/>
      <w:r w:rsidRPr="00B7524F">
        <w:rPr>
          <w:rFonts w:asciiTheme="majorBidi" w:hAnsiTheme="majorBidi" w:cstheme="majorBidi"/>
          <w:color w:val="212121"/>
        </w:rPr>
        <w:t xml:space="preserve"> </w:t>
      </w:r>
      <w:proofErr w:type="spellStart"/>
      <w:r w:rsidRPr="00B7524F">
        <w:rPr>
          <w:rFonts w:asciiTheme="majorBidi" w:hAnsiTheme="majorBidi" w:cstheme="majorBidi"/>
          <w:color w:val="212121"/>
        </w:rPr>
        <w:t>Nephrol</w:t>
      </w:r>
      <w:proofErr w:type="spellEnd"/>
      <w:r w:rsidRPr="00B7524F">
        <w:rPr>
          <w:rFonts w:asciiTheme="majorBidi" w:hAnsiTheme="majorBidi" w:cstheme="majorBidi"/>
          <w:color w:val="212121"/>
        </w:rPr>
        <w:t xml:space="preserve">. 2016 Nov;31(11):2163-70. </w:t>
      </w:r>
      <w:proofErr w:type="spellStart"/>
      <w:r w:rsidRPr="00B7524F">
        <w:rPr>
          <w:rFonts w:asciiTheme="majorBidi" w:hAnsiTheme="majorBidi" w:cstheme="majorBidi"/>
          <w:color w:val="212121"/>
        </w:rPr>
        <w:t>doi</w:t>
      </w:r>
      <w:proofErr w:type="spellEnd"/>
      <w:r w:rsidRPr="00B7524F">
        <w:rPr>
          <w:rFonts w:asciiTheme="majorBidi" w:hAnsiTheme="majorBidi" w:cstheme="majorBidi"/>
          <w:color w:val="212121"/>
        </w:rPr>
        <w:t>: 10.1007/s00467-016-3420.</w:t>
      </w:r>
    </w:p>
    <w:p w:rsidR="009A769D" w:rsidRPr="008E4182" w:rsidRDefault="009A769D" w:rsidP="00B7524F">
      <w:pPr>
        <w:numPr>
          <w:ilvl w:val="0"/>
          <w:numId w:val="3"/>
        </w:numPr>
        <w:spacing w:after="0" w:line="276" w:lineRule="auto"/>
        <w:ind w:left="360" w:hanging="360"/>
        <w:rPr>
          <w:rFonts w:asciiTheme="majorBidi" w:hAnsiTheme="majorBidi" w:cstheme="majorBidi"/>
        </w:rPr>
      </w:pPr>
      <w:proofErr w:type="spellStart"/>
      <w:r w:rsidRPr="008E4182">
        <w:rPr>
          <w:rFonts w:asciiTheme="majorBidi" w:hAnsiTheme="majorBidi" w:cstheme="majorBidi"/>
          <w:color w:val="212121"/>
        </w:rPr>
        <w:t>Maleknia</w:t>
      </w:r>
      <w:proofErr w:type="spellEnd"/>
      <w:r w:rsidRPr="008E4182">
        <w:rPr>
          <w:rFonts w:asciiTheme="majorBidi" w:hAnsiTheme="majorBidi" w:cstheme="majorBidi"/>
          <w:color w:val="212121"/>
        </w:rPr>
        <w:t xml:space="preserve"> L, </w:t>
      </w:r>
      <w:proofErr w:type="spellStart"/>
      <w:r w:rsidRPr="008E4182">
        <w:rPr>
          <w:rFonts w:asciiTheme="majorBidi" w:hAnsiTheme="majorBidi" w:cstheme="majorBidi"/>
          <w:color w:val="212121"/>
        </w:rPr>
        <w:t>Samiezade</w:t>
      </w:r>
      <w:proofErr w:type="spellEnd"/>
      <w:r w:rsidRPr="008E4182">
        <w:rPr>
          <w:rFonts w:asciiTheme="majorBidi" w:hAnsiTheme="majorBidi" w:cstheme="majorBidi"/>
          <w:color w:val="212121"/>
        </w:rPr>
        <w:t xml:space="preserve">-Yazd Z, </w:t>
      </w:r>
      <w:proofErr w:type="spellStart"/>
      <w:r w:rsidRPr="008E4182">
        <w:rPr>
          <w:rFonts w:asciiTheme="majorBidi" w:hAnsiTheme="majorBidi" w:cstheme="majorBidi"/>
          <w:color w:val="212121"/>
        </w:rPr>
        <w:t>Luu</w:t>
      </w:r>
      <w:proofErr w:type="spellEnd"/>
      <w:r w:rsidRPr="008E4182">
        <w:rPr>
          <w:rFonts w:asciiTheme="majorBidi" w:hAnsiTheme="majorBidi" w:cstheme="majorBidi"/>
          <w:color w:val="212121"/>
        </w:rPr>
        <w:t xml:space="preserve"> X, </w:t>
      </w:r>
      <w:proofErr w:type="spellStart"/>
      <w:r w:rsidRPr="008E4182">
        <w:rPr>
          <w:rFonts w:asciiTheme="majorBidi" w:hAnsiTheme="majorBidi" w:cstheme="majorBidi"/>
          <w:color w:val="212121"/>
        </w:rPr>
        <w:t>Cranshaw</w:t>
      </w:r>
      <w:proofErr w:type="spellEnd"/>
      <w:r w:rsidRPr="008E4182">
        <w:rPr>
          <w:rFonts w:asciiTheme="majorBidi" w:hAnsiTheme="majorBidi" w:cstheme="majorBidi"/>
          <w:color w:val="212121"/>
        </w:rPr>
        <w:t xml:space="preserve"> M, Weintraub MR, et al. Predicting Progression of STEC-HUS: Use of Shiga Toxin Subtype and Routine Laboratory Screening. J Pediatric Infect Dis Soc. 2025 Apr 8;14(4):piaf022.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10.1093/</w:t>
      </w:r>
      <w:proofErr w:type="spellStart"/>
      <w:r w:rsidRPr="008E4182">
        <w:rPr>
          <w:rFonts w:asciiTheme="majorBidi" w:hAnsiTheme="majorBidi" w:cstheme="majorBidi"/>
          <w:color w:val="212121"/>
        </w:rPr>
        <w:t>jpids</w:t>
      </w:r>
      <w:proofErr w:type="spellEnd"/>
      <w:r w:rsidRPr="008E4182">
        <w:rPr>
          <w:rFonts w:asciiTheme="majorBidi" w:hAnsiTheme="majorBidi" w:cstheme="majorBidi"/>
          <w:color w:val="212121"/>
        </w:rPr>
        <w:t>/piaf022</w:t>
      </w:r>
      <w:r>
        <w:rPr>
          <w:rFonts w:asciiTheme="majorBidi" w:hAnsiTheme="majorBidi" w:cstheme="majorBidi"/>
          <w:color w:val="212121"/>
        </w:rPr>
        <w:t>.</w:t>
      </w:r>
    </w:p>
    <w:p w:rsidR="009A769D" w:rsidRPr="008E4182" w:rsidRDefault="009A769D" w:rsidP="00B7524F">
      <w:pPr>
        <w:numPr>
          <w:ilvl w:val="0"/>
          <w:numId w:val="3"/>
        </w:numPr>
        <w:spacing w:after="0" w:line="276" w:lineRule="auto"/>
        <w:ind w:left="360" w:hanging="360"/>
        <w:rPr>
          <w:rFonts w:asciiTheme="majorBidi" w:hAnsiTheme="majorBidi" w:cstheme="majorBidi"/>
        </w:rPr>
      </w:pPr>
      <w:r w:rsidRPr="008E4182">
        <w:rPr>
          <w:rFonts w:asciiTheme="majorBidi" w:hAnsiTheme="majorBidi" w:cstheme="majorBidi"/>
          <w:color w:val="212121"/>
        </w:rPr>
        <w:t xml:space="preserve"> </w:t>
      </w:r>
      <w:proofErr w:type="spellStart"/>
      <w:r w:rsidRPr="008E4182">
        <w:rPr>
          <w:rFonts w:asciiTheme="majorBidi" w:hAnsiTheme="majorBidi" w:cstheme="majorBidi"/>
          <w:color w:val="212121"/>
        </w:rPr>
        <w:t>Puraswani</w:t>
      </w:r>
      <w:proofErr w:type="spellEnd"/>
      <w:r w:rsidRPr="008E4182">
        <w:rPr>
          <w:rFonts w:asciiTheme="majorBidi" w:hAnsiTheme="majorBidi" w:cstheme="majorBidi"/>
          <w:color w:val="212121"/>
        </w:rPr>
        <w:t xml:space="preserve"> M, </w:t>
      </w:r>
      <w:proofErr w:type="spellStart"/>
      <w:r w:rsidRPr="008E4182">
        <w:rPr>
          <w:rFonts w:asciiTheme="majorBidi" w:hAnsiTheme="majorBidi" w:cstheme="majorBidi"/>
          <w:color w:val="212121"/>
        </w:rPr>
        <w:t>Khandelwal</w:t>
      </w:r>
      <w:proofErr w:type="spellEnd"/>
      <w:r w:rsidRPr="008E4182">
        <w:rPr>
          <w:rFonts w:asciiTheme="majorBidi" w:hAnsiTheme="majorBidi" w:cstheme="majorBidi"/>
          <w:color w:val="212121"/>
        </w:rPr>
        <w:t xml:space="preserve"> P, Saini H, Saini S, </w:t>
      </w:r>
      <w:proofErr w:type="spellStart"/>
      <w:r w:rsidRPr="008E4182">
        <w:rPr>
          <w:rFonts w:asciiTheme="majorBidi" w:hAnsiTheme="majorBidi" w:cstheme="majorBidi"/>
          <w:color w:val="212121"/>
        </w:rPr>
        <w:t>Gurjar</w:t>
      </w:r>
      <w:proofErr w:type="spellEnd"/>
      <w:r w:rsidRPr="008E4182">
        <w:rPr>
          <w:rFonts w:asciiTheme="majorBidi" w:hAnsiTheme="majorBidi" w:cstheme="majorBidi"/>
          <w:color w:val="212121"/>
        </w:rPr>
        <w:t xml:space="preserve"> BS, et al. Clinical and Immunological Profile of Anti-factor H Antibody Associated Atypical Hemolytic Uremic Syndrome: A Nationwide Database. Front </w:t>
      </w:r>
      <w:proofErr w:type="spellStart"/>
      <w:r w:rsidRPr="008E4182">
        <w:rPr>
          <w:rFonts w:asciiTheme="majorBidi" w:hAnsiTheme="majorBidi" w:cstheme="majorBidi"/>
          <w:color w:val="212121"/>
        </w:rPr>
        <w:t>Immunol</w:t>
      </w:r>
      <w:proofErr w:type="spellEnd"/>
      <w:r w:rsidRPr="008E4182">
        <w:rPr>
          <w:rFonts w:asciiTheme="majorBidi" w:hAnsiTheme="majorBidi" w:cstheme="majorBidi"/>
          <w:color w:val="212121"/>
        </w:rPr>
        <w:t xml:space="preserve">. 2019 Jun 7;10:1282. </w:t>
      </w:r>
      <w:proofErr w:type="spellStart"/>
      <w:r w:rsidRPr="008E4182">
        <w:rPr>
          <w:rFonts w:asciiTheme="majorBidi" w:hAnsiTheme="majorBidi" w:cstheme="majorBidi"/>
          <w:color w:val="212121"/>
        </w:rPr>
        <w:t>doi</w:t>
      </w:r>
      <w:proofErr w:type="spellEnd"/>
      <w:r w:rsidRPr="008E4182">
        <w:rPr>
          <w:rFonts w:asciiTheme="majorBidi" w:hAnsiTheme="majorBidi" w:cstheme="majorBidi"/>
          <w:color w:val="212121"/>
        </w:rPr>
        <w:t xml:space="preserve">: 10.3389/fimmu.2019.01282. </w:t>
      </w:r>
    </w:p>
    <w:p w:rsidR="009A769D" w:rsidRPr="008E4182" w:rsidRDefault="009A769D" w:rsidP="009A769D">
      <w:pPr>
        <w:tabs>
          <w:tab w:val="left" w:pos="90"/>
        </w:tabs>
        <w:spacing w:after="34" w:line="248" w:lineRule="auto"/>
        <w:ind w:left="0" w:right="1" w:firstLine="0"/>
        <w:rPr>
          <w:rFonts w:asciiTheme="majorBidi" w:hAnsiTheme="majorBidi" w:cstheme="majorBidi"/>
        </w:rPr>
      </w:pPr>
    </w:p>
    <w:p w:rsidR="009A769D" w:rsidRPr="008E4182" w:rsidRDefault="009A769D" w:rsidP="009A769D">
      <w:pPr>
        <w:spacing w:after="13" w:line="269" w:lineRule="auto"/>
        <w:ind w:left="0" w:right="1" w:firstLine="0"/>
        <w:rPr>
          <w:rFonts w:asciiTheme="majorBidi" w:hAnsiTheme="majorBidi" w:cstheme="majorBidi"/>
        </w:rPr>
      </w:pPr>
    </w:p>
    <w:p w:rsidR="00586431" w:rsidRPr="009A769D" w:rsidRDefault="00586431" w:rsidP="009A769D">
      <w:bookmarkStart w:id="5" w:name="_GoBack"/>
      <w:bookmarkEnd w:id="5"/>
    </w:p>
    <w:sectPr w:rsidR="00586431" w:rsidRPr="009A769D">
      <w:footerReference w:type="even" r:id="rId8"/>
      <w:footerReference w:type="default" r:id="rId9"/>
      <w:footerReference w:type="first" r:id="rId10"/>
      <w:pgSz w:w="11909" w:h="16834"/>
      <w:pgMar w:top="1443" w:right="1791" w:bottom="1451" w:left="1757" w:header="72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31" w:rsidRDefault="00586431">
      <w:pPr>
        <w:spacing w:after="0" w:line="240" w:lineRule="auto"/>
      </w:pPr>
      <w:r>
        <w:separator/>
      </w:r>
    </w:p>
  </w:endnote>
  <w:endnote w:type="continuationSeparator" w:id="0">
    <w:p w:rsidR="00586431" w:rsidRDefault="0058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31" w:rsidRDefault="00586431">
    <w:pPr>
      <w:spacing w:after="0" w:line="259" w:lineRule="auto"/>
      <w:ind w:left="4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31" w:rsidRDefault="00586431">
    <w:pPr>
      <w:spacing w:after="0" w:line="259" w:lineRule="auto"/>
      <w:ind w:left="40" w:firstLine="0"/>
      <w:jc w:val="center"/>
    </w:pPr>
    <w:r>
      <w:fldChar w:fldCharType="begin"/>
    </w:r>
    <w:r>
      <w:instrText xml:space="preserve"> PAGE   \* MERGEFORMAT </w:instrText>
    </w:r>
    <w:r>
      <w:fldChar w:fldCharType="separate"/>
    </w:r>
    <w:r w:rsidR="00B7524F" w:rsidRPr="00B7524F">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31" w:rsidRDefault="00586431">
    <w:pPr>
      <w:spacing w:after="0" w:line="259" w:lineRule="auto"/>
      <w:ind w:left="4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31" w:rsidRDefault="00586431">
      <w:pPr>
        <w:spacing w:after="0" w:line="240" w:lineRule="auto"/>
      </w:pPr>
      <w:r>
        <w:separator/>
      </w:r>
    </w:p>
  </w:footnote>
  <w:footnote w:type="continuationSeparator" w:id="0">
    <w:p w:rsidR="00586431" w:rsidRDefault="00586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07C0"/>
    <w:multiLevelType w:val="hybridMultilevel"/>
    <w:tmpl w:val="A76427DE"/>
    <w:lvl w:ilvl="0" w:tplc="CB5896E4">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25EC99A">
      <w:start w:val="1"/>
      <w:numFmt w:val="lowerLetter"/>
      <w:lvlText w:val="%2"/>
      <w:lvlJc w:val="left"/>
      <w:pPr>
        <w:ind w:left="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CE5C8A">
      <w:start w:val="1"/>
      <w:numFmt w:val="lowerRoman"/>
      <w:lvlText w:val="%3"/>
      <w:lvlJc w:val="left"/>
      <w:pPr>
        <w:ind w:left="14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D2DE2C">
      <w:start w:val="1"/>
      <w:numFmt w:val="decimal"/>
      <w:lvlText w:val="%4"/>
      <w:lvlJc w:val="left"/>
      <w:pPr>
        <w:ind w:left="21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7CB7EA">
      <w:start w:val="1"/>
      <w:numFmt w:val="lowerLetter"/>
      <w:lvlText w:val="%5"/>
      <w:lvlJc w:val="left"/>
      <w:pPr>
        <w:ind w:left="28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6885FB4">
      <w:start w:val="1"/>
      <w:numFmt w:val="lowerRoman"/>
      <w:lvlText w:val="%6"/>
      <w:lvlJc w:val="left"/>
      <w:pPr>
        <w:ind w:left="35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B2D46C">
      <w:start w:val="1"/>
      <w:numFmt w:val="decimal"/>
      <w:lvlText w:val="%7"/>
      <w:lvlJc w:val="left"/>
      <w:pPr>
        <w:ind w:left="42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3CDA84">
      <w:start w:val="1"/>
      <w:numFmt w:val="lowerLetter"/>
      <w:lvlText w:val="%8"/>
      <w:lvlJc w:val="left"/>
      <w:pPr>
        <w:ind w:left="50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243C0C">
      <w:start w:val="1"/>
      <w:numFmt w:val="lowerRoman"/>
      <w:lvlText w:val="%9"/>
      <w:lvlJc w:val="left"/>
      <w:pPr>
        <w:ind w:left="57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11F063CA"/>
    <w:multiLevelType w:val="hybridMultilevel"/>
    <w:tmpl w:val="FD5408D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nsid w:val="48B6291E"/>
    <w:multiLevelType w:val="hybridMultilevel"/>
    <w:tmpl w:val="D13C86E4"/>
    <w:lvl w:ilvl="0" w:tplc="22EC4452">
      <w:start w:val="1"/>
      <w:numFmt w:val="decimal"/>
      <w:lvlText w:val="%1."/>
      <w:lvlJc w:val="left"/>
      <w:pPr>
        <w:ind w:left="389" w:hanging="360"/>
      </w:pPr>
      <w:rPr>
        <w:b/>
      </w:r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3">
    <w:nsid w:val="4B0D6737"/>
    <w:multiLevelType w:val="hybridMultilevel"/>
    <w:tmpl w:val="06FA05FC"/>
    <w:lvl w:ilvl="0" w:tplc="E0C6894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79A1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767AA4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037E5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A54240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9F8AEE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71007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51FC9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B400F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
    <w:nsid w:val="50871A9D"/>
    <w:multiLevelType w:val="hybridMultilevel"/>
    <w:tmpl w:val="5908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3E"/>
    <w:rsid w:val="000A7255"/>
    <w:rsid w:val="00142A3E"/>
    <w:rsid w:val="00586431"/>
    <w:rsid w:val="008655A5"/>
    <w:rsid w:val="00880CB2"/>
    <w:rsid w:val="008836CA"/>
    <w:rsid w:val="009A769D"/>
    <w:rsid w:val="00A44688"/>
    <w:rsid w:val="00B7524F"/>
    <w:rsid w:val="00D73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9D"/>
    <w:pPr>
      <w:spacing w:after="191" w:line="247" w:lineRule="auto"/>
      <w:ind w:left="54" w:hanging="10"/>
      <w:jc w:val="both"/>
    </w:pPr>
    <w:rPr>
      <w:rFonts w:ascii="Times New Roman" w:eastAsia="Times New Roman" w:hAnsi="Times New Roman" w:cs="Times New Roman"/>
      <w:color w:val="000000"/>
      <w:kern w:val="2"/>
      <w:sz w:val="24"/>
      <w:szCs w:val="24"/>
      <w14:ligatures w14:val="standardContextual"/>
    </w:rPr>
  </w:style>
  <w:style w:type="paragraph" w:styleId="3">
    <w:name w:val="heading 3"/>
    <w:basedOn w:val="a"/>
    <w:next w:val="a"/>
    <w:link w:val="3Char"/>
    <w:uiPriority w:val="9"/>
    <w:semiHidden/>
    <w:unhideWhenUsed/>
    <w:qFormat/>
    <w:rsid w:val="009A769D"/>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9A769D"/>
    <w:rPr>
      <w:rFonts w:asciiTheme="majorHAnsi" w:eastAsiaTheme="majorEastAsia" w:hAnsiTheme="majorHAnsi" w:cstheme="majorBidi"/>
      <w:color w:val="243F60" w:themeColor="accent1" w:themeShade="7F"/>
      <w:kern w:val="2"/>
      <w:sz w:val="24"/>
      <w:szCs w:val="24"/>
      <w14:ligatures w14:val="standardContextual"/>
    </w:rPr>
  </w:style>
  <w:style w:type="paragraph" w:styleId="a3">
    <w:name w:val="Normal (Web)"/>
    <w:basedOn w:val="a"/>
    <w:uiPriority w:val="99"/>
    <w:semiHidden/>
    <w:unhideWhenUsed/>
    <w:rsid w:val="009A769D"/>
    <w:pPr>
      <w:spacing w:before="100" w:beforeAutospacing="1" w:after="100" w:afterAutospacing="1" w:line="240" w:lineRule="auto"/>
      <w:ind w:left="0" w:firstLine="0"/>
      <w:jc w:val="left"/>
    </w:pPr>
    <w:rPr>
      <w:color w:val="auto"/>
      <w:kern w:val="0"/>
      <w14:ligatures w14:val="none"/>
    </w:rPr>
  </w:style>
  <w:style w:type="paragraph" w:styleId="a4">
    <w:name w:val="header"/>
    <w:basedOn w:val="a"/>
    <w:link w:val="Char"/>
    <w:uiPriority w:val="99"/>
    <w:unhideWhenUsed/>
    <w:rsid w:val="009A769D"/>
    <w:pPr>
      <w:tabs>
        <w:tab w:val="center" w:pos="4680"/>
        <w:tab w:val="right" w:pos="9360"/>
      </w:tabs>
      <w:spacing w:after="0" w:line="240" w:lineRule="auto"/>
    </w:pPr>
  </w:style>
  <w:style w:type="character" w:customStyle="1" w:styleId="Char">
    <w:name w:val="رأس الصفحة Char"/>
    <w:basedOn w:val="a0"/>
    <w:link w:val="a4"/>
    <w:uiPriority w:val="99"/>
    <w:rsid w:val="009A769D"/>
    <w:rPr>
      <w:rFonts w:ascii="Times New Roman" w:eastAsia="Times New Roman" w:hAnsi="Times New Roman" w:cs="Times New Roman"/>
      <w:color w:val="000000"/>
      <w:kern w:val="2"/>
      <w:sz w:val="24"/>
      <w:szCs w:val="24"/>
      <w14:ligatures w14:val="standardContextual"/>
    </w:rPr>
  </w:style>
  <w:style w:type="paragraph" w:styleId="a5">
    <w:name w:val="Balloon Text"/>
    <w:basedOn w:val="a"/>
    <w:link w:val="Char0"/>
    <w:uiPriority w:val="99"/>
    <w:semiHidden/>
    <w:unhideWhenUsed/>
    <w:rsid w:val="009A769D"/>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A769D"/>
    <w:rPr>
      <w:rFonts w:ascii="Tahoma" w:eastAsia="Times New Roman" w:hAnsi="Tahoma" w:cs="Tahoma"/>
      <w:color w:val="000000"/>
      <w:kern w:val="2"/>
      <w:sz w:val="16"/>
      <w:szCs w:val="16"/>
      <w14:ligatures w14:val="standardContextual"/>
    </w:rPr>
  </w:style>
  <w:style w:type="paragraph" w:styleId="a6">
    <w:name w:val="Revision"/>
    <w:uiPriority w:val="99"/>
    <w:semiHidden/>
    <w:rsid w:val="009A769D"/>
    <w:pPr>
      <w:spacing w:after="0" w:line="240" w:lineRule="auto"/>
    </w:pPr>
    <w:rPr>
      <w:rFonts w:ascii="Times New Roman" w:eastAsia="Times New Roman" w:hAnsi="Times New Roman" w:cs="Times New Roman"/>
      <w:color w:val="000000"/>
      <w:kern w:val="2"/>
      <w:sz w:val="24"/>
      <w:szCs w:val="24"/>
      <w14:ligatures w14:val="standardContextual"/>
    </w:rPr>
  </w:style>
  <w:style w:type="paragraph" w:styleId="a7">
    <w:name w:val="List Paragraph"/>
    <w:basedOn w:val="a"/>
    <w:uiPriority w:val="34"/>
    <w:qFormat/>
    <w:rsid w:val="009A769D"/>
    <w:pPr>
      <w:spacing w:after="160" w:line="276" w:lineRule="auto"/>
      <w:ind w:left="720" w:firstLine="0"/>
      <w:contextualSpacing/>
      <w:jc w:val="left"/>
    </w:pPr>
    <w:rPr>
      <w:rFonts w:asciiTheme="minorHAnsi" w:eastAsiaTheme="minorHAnsi" w:hAnsiTheme="minorHAnsi" w:cstheme="minorBidi"/>
      <w:color w:val="auto"/>
    </w:rPr>
  </w:style>
  <w:style w:type="character" w:customStyle="1" w:styleId="person-group">
    <w:name w:val="person-group"/>
    <w:basedOn w:val="a0"/>
    <w:rsid w:val="009A769D"/>
  </w:style>
  <w:style w:type="character" w:customStyle="1" w:styleId="name">
    <w:name w:val="name"/>
    <w:basedOn w:val="a0"/>
    <w:rsid w:val="009A769D"/>
  </w:style>
  <w:style w:type="character" w:customStyle="1" w:styleId="surname">
    <w:name w:val="surname"/>
    <w:basedOn w:val="a0"/>
    <w:rsid w:val="009A769D"/>
  </w:style>
  <w:style w:type="character" w:customStyle="1" w:styleId="given-names">
    <w:name w:val="given-names"/>
    <w:basedOn w:val="a0"/>
    <w:rsid w:val="009A769D"/>
  </w:style>
  <w:style w:type="character" w:customStyle="1" w:styleId="article-title">
    <w:name w:val="article-title"/>
    <w:basedOn w:val="a0"/>
    <w:rsid w:val="009A769D"/>
  </w:style>
  <w:style w:type="character" w:customStyle="1" w:styleId="source">
    <w:name w:val="source"/>
    <w:basedOn w:val="a0"/>
    <w:rsid w:val="009A769D"/>
  </w:style>
  <w:style w:type="character" w:customStyle="1" w:styleId="year">
    <w:name w:val="year"/>
    <w:basedOn w:val="a0"/>
    <w:rsid w:val="009A769D"/>
  </w:style>
  <w:style w:type="character" w:customStyle="1" w:styleId="volume">
    <w:name w:val="volume"/>
    <w:basedOn w:val="a0"/>
    <w:rsid w:val="009A769D"/>
  </w:style>
  <w:style w:type="character" w:customStyle="1" w:styleId="issue">
    <w:name w:val="issue"/>
    <w:basedOn w:val="a0"/>
    <w:rsid w:val="009A769D"/>
  </w:style>
  <w:style w:type="character" w:customStyle="1" w:styleId="fpage">
    <w:name w:val="fpage"/>
    <w:basedOn w:val="a0"/>
    <w:rsid w:val="009A769D"/>
  </w:style>
  <w:style w:type="character" w:customStyle="1" w:styleId="lpage">
    <w:name w:val="lpage"/>
    <w:basedOn w:val="a0"/>
    <w:rsid w:val="009A769D"/>
  </w:style>
  <w:style w:type="character" w:customStyle="1" w:styleId="pub-id-doi">
    <w:name w:val="pub-id-doi"/>
    <w:basedOn w:val="a0"/>
    <w:rsid w:val="009A769D"/>
  </w:style>
  <w:style w:type="table" w:styleId="a8">
    <w:name w:val="Table Grid"/>
    <w:basedOn w:val="a1"/>
    <w:uiPriority w:val="39"/>
    <w:rsid w:val="009A769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A769D"/>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a9">
    <w:name w:val="Emphasis"/>
    <w:basedOn w:val="a0"/>
    <w:uiPriority w:val="20"/>
    <w:qFormat/>
    <w:rsid w:val="009A76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9D"/>
    <w:pPr>
      <w:spacing w:after="191" w:line="247" w:lineRule="auto"/>
      <w:ind w:left="54" w:hanging="10"/>
      <w:jc w:val="both"/>
    </w:pPr>
    <w:rPr>
      <w:rFonts w:ascii="Times New Roman" w:eastAsia="Times New Roman" w:hAnsi="Times New Roman" w:cs="Times New Roman"/>
      <w:color w:val="000000"/>
      <w:kern w:val="2"/>
      <w:sz w:val="24"/>
      <w:szCs w:val="24"/>
      <w14:ligatures w14:val="standardContextual"/>
    </w:rPr>
  </w:style>
  <w:style w:type="paragraph" w:styleId="3">
    <w:name w:val="heading 3"/>
    <w:basedOn w:val="a"/>
    <w:next w:val="a"/>
    <w:link w:val="3Char"/>
    <w:uiPriority w:val="9"/>
    <w:semiHidden/>
    <w:unhideWhenUsed/>
    <w:qFormat/>
    <w:rsid w:val="009A769D"/>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9A769D"/>
    <w:rPr>
      <w:rFonts w:asciiTheme="majorHAnsi" w:eastAsiaTheme="majorEastAsia" w:hAnsiTheme="majorHAnsi" w:cstheme="majorBidi"/>
      <w:color w:val="243F60" w:themeColor="accent1" w:themeShade="7F"/>
      <w:kern w:val="2"/>
      <w:sz w:val="24"/>
      <w:szCs w:val="24"/>
      <w14:ligatures w14:val="standardContextual"/>
    </w:rPr>
  </w:style>
  <w:style w:type="paragraph" w:styleId="a3">
    <w:name w:val="Normal (Web)"/>
    <w:basedOn w:val="a"/>
    <w:uiPriority w:val="99"/>
    <w:semiHidden/>
    <w:unhideWhenUsed/>
    <w:rsid w:val="009A769D"/>
    <w:pPr>
      <w:spacing w:before="100" w:beforeAutospacing="1" w:after="100" w:afterAutospacing="1" w:line="240" w:lineRule="auto"/>
      <w:ind w:left="0" w:firstLine="0"/>
      <w:jc w:val="left"/>
    </w:pPr>
    <w:rPr>
      <w:color w:val="auto"/>
      <w:kern w:val="0"/>
      <w14:ligatures w14:val="none"/>
    </w:rPr>
  </w:style>
  <w:style w:type="paragraph" w:styleId="a4">
    <w:name w:val="header"/>
    <w:basedOn w:val="a"/>
    <w:link w:val="Char"/>
    <w:uiPriority w:val="99"/>
    <w:unhideWhenUsed/>
    <w:rsid w:val="009A769D"/>
    <w:pPr>
      <w:tabs>
        <w:tab w:val="center" w:pos="4680"/>
        <w:tab w:val="right" w:pos="9360"/>
      </w:tabs>
      <w:spacing w:after="0" w:line="240" w:lineRule="auto"/>
    </w:pPr>
  </w:style>
  <w:style w:type="character" w:customStyle="1" w:styleId="Char">
    <w:name w:val="رأس الصفحة Char"/>
    <w:basedOn w:val="a0"/>
    <w:link w:val="a4"/>
    <w:uiPriority w:val="99"/>
    <w:rsid w:val="009A769D"/>
    <w:rPr>
      <w:rFonts w:ascii="Times New Roman" w:eastAsia="Times New Roman" w:hAnsi="Times New Roman" w:cs="Times New Roman"/>
      <w:color w:val="000000"/>
      <w:kern w:val="2"/>
      <w:sz w:val="24"/>
      <w:szCs w:val="24"/>
      <w14:ligatures w14:val="standardContextual"/>
    </w:rPr>
  </w:style>
  <w:style w:type="paragraph" w:styleId="a5">
    <w:name w:val="Balloon Text"/>
    <w:basedOn w:val="a"/>
    <w:link w:val="Char0"/>
    <w:uiPriority w:val="99"/>
    <w:semiHidden/>
    <w:unhideWhenUsed/>
    <w:rsid w:val="009A769D"/>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A769D"/>
    <w:rPr>
      <w:rFonts w:ascii="Tahoma" w:eastAsia="Times New Roman" w:hAnsi="Tahoma" w:cs="Tahoma"/>
      <w:color w:val="000000"/>
      <w:kern w:val="2"/>
      <w:sz w:val="16"/>
      <w:szCs w:val="16"/>
      <w14:ligatures w14:val="standardContextual"/>
    </w:rPr>
  </w:style>
  <w:style w:type="paragraph" w:styleId="a6">
    <w:name w:val="Revision"/>
    <w:uiPriority w:val="99"/>
    <w:semiHidden/>
    <w:rsid w:val="009A769D"/>
    <w:pPr>
      <w:spacing w:after="0" w:line="240" w:lineRule="auto"/>
    </w:pPr>
    <w:rPr>
      <w:rFonts w:ascii="Times New Roman" w:eastAsia="Times New Roman" w:hAnsi="Times New Roman" w:cs="Times New Roman"/>
      <w:color w:val="000000"/>
      <w:kern w:val="2"/>
      <w:sz w:val="24"/>
      <w:szCs w:val="24"/>
      <w14:ligatures w14:val="standardContextual"/>
    </w:rPr>
  </w:style>
  <w:style w:type="paragraph" w:styleId="a7">
    <w:name w:val="List Paragraph"/>
    <w:basedOn w:val="a"/>
    <w:uiPriority w:val="34"/>
    <w:qFormat/>
    <w:rsid w:val="009A769D"/>
    <w:pPr>
      <w:spacing w:after="160" w:line="276" w:lineRule="auto"/>
      <w:ind w:left="720" w:firstLine="0"/>
      <w:contextualSpacing/>
      <w:jc w:val="left"/>
    </w:pPr>
    <w:rPr>
      <w:rFonts w:asciiTheme="minorHAnsi" w:eastAsiaTheme="minorHAnsi" w:hAnsiTheme="minorHAnsi" w:cstheme="minorBidi"/>
      <w:color w:val="auto"/>
    </w:rPr>
  </w:style>
  <w:style w:type="character" w:customStyle="1" w:styleId="person-group">
    <w:name w:val="person-group"/>
    <w:basedOn w:val="a0"/>
    <w:rsid w:val="009A769D"/>
  </w:style>
  <w:style w:type="character" w:customStyle="1" w:styleId="name">
    <w:name w:val="name"/>
    <w:basedOn w:val="a0"/>
    <w:rsid w:val="009A769D"/>
  </w:style>
  <w:style w:type="character" w:customStyle="1" w:styleId="surname">
    <w:name w:val="surname"/>
    <w:basedOn w:val="a0"/>
    <w:rsid w:val="009A769D"/>
  </w:style>
  <w:style w:type="character" w:customStyle="1" w:styleId="given-names">
    <w:name w:val="given-names"/>
    <w:basedOn w:val="a0"/>
    <w:rsid w:val="009A769D"/>
  </w:style>
  <w:style w:type="character" w:customStyle="1" w:styleId="article-title">
    <w:name w:val="article-title"/>
    <w:basedOn w:val="a0"/>
    <w:rsid w:val="009A769D"/>
  </w:style>
  <w:style w:type="character" w:customStyle="1" w:styleId="source">
    <w:name w:val="source"/>
    <w:basedOn w:val="a0"/>
    <w:rsid w:val="009A769D"/>
  </w:style>
  <w:style w:type="character" w:customStyle="1" w:styleId="year">
    <w:name w:val="year"/>
    <w:basedOn w:val="a0"/>
    <w:rsid w:val="009A769D"/>
  </w:style>
  <w:style w:type="character" w:customStyle="1" w:styleId="volume">
    <w:name w:val="volume"/>
    <w:basedOn w:val="a0"/>
    <w:rsid w:val="009A769D"/>
  </w:style>
  <w:style w:type="character" w:customStyle="1" w:styleId="issue">
    <w:name w:val="issue"/>
    <w:basedOn w:val="a0"/>
    <w:rsid w:val="009A769D"/>
  </w:style>
  <w:style w:type="character" w:customStyle="1" w:styleId="fpage">
    <w:name w:val="fpage"/>
    <w:basedOn w:val="a0"/>
    <w:rsid w:val="009A769D"/>
  </w:style>
  <w:style w:type="character" w:customStyle="1" w:styleId="lpage">
    <w:name w:val="lpage"/>
    <w:basedOn w:val="a0"/>
    <w:rsid w:val="009A769D"/>
  </w:style>
  <w:style w:type="character" w:customStyle="1" w:styleId="pub-id-doi">
    <w:name w:val="pub-id-doi"/>
    <w:basedOn w:val="a0"/>
    <w:rsid w:val="009A769D"/>
  </w:style>
  <w:style w:type="table" w:styleId="a8">
    <w:name w:val="Table Grid"/>
    <w:basedOn w:val="a1"/>
    <w:uiPriority w:val="39"/>
    <w:rsid w:val="009A769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A769D"/>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a9">
    <w:name w:val="Emphasis"/>
    <w:basedOn w:val="a0"/>
    <w:uiPriority w:val="20"/>
    <w:qFormat/>
    <w:rsid w:val="009A7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163">
      <w:bodyDiv w:val="1"/>
      <w:marLeft w:val="0"/>
      <w:marRight w:val="0"/>
      <w:marTop w:val="0"/>
      <w:marBottom w:val="0"/>
      <w:divBdr>
        <w:top w:val="none" w:sz="0" w:space="0" w:color="auto"/>
        <w:left w:val="none" w:sz="0" w:space="0" w:color="auto"/>
        <w:bottom w:val="none" w:sz="0" w:space="0" w:color="auto"/>
        <w:right w:val="none" w:sz="0" w:space="0" w:color="auto"/>
      </w:divBdr>
    </w:div>
    <w:div w:id="1832285114">
      <w:bodyDiv w:val="1"/>
      <w:marLeft w:val="0"/>
      <w:marRight w:val="0"/>
      <w:marTop w:val="0"/>
      <w:marBottom w:val="0"/>
      <w:divBdr>
        <w:top w:val="none" w:sz="0" w:space="0" w:color="auto"/>
        <w:left w:val="none" w:sz="0" w:space="0" w:color="auto"/>
        <w:bottom w:val="none" w:sz="0" w:space="0" w:color="auto"/>
        <w:right w:val="none" w:sz="0" w:space="0" w:color="auto"/>
      </w:divBdr>
      <w:divsChild>
        <w:div w:id="1772403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73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4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40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8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6276</Words>
  <Characters>35775</Characters>
  <Application>Microsoft Office Word</Application>
  <DocSecurity>0</DocSecurity>
  <Lines>298</Lines>
  <Paragraphs>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IGFI</dc:creator>
  <cp:keywords/>
  <dc:description/>
  <cp:lastModifiedBy>IGFI</cp:lastModifiedBy>
  <cp:revision>3</cp:revision>
  <dcterms:created xsi:type="dcterms:W3CDTF">2026-01-26T17:18:00Z</dcterms:created>
  <dcterms:modified xsi:type="dcterms:W3CDTF">2026-01-26T08:12:00Z</dcterms:modified>
</cp:coreProperties>
</file>